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722" w14:textId="26DFD59D" w:rsidR="00D90DB2" w:rsidRPr="00D90DB2" w:rsidRDefault="009614B7" w:rsidP="00D90DB2">
      <w:pPr>
        <w:jc w:val="right"/>
        <w:rPr>
          <w:b/>
        </w:rPr>
      </w:pPr>
      <w:r>
        <w:rPr>
          <w:b/>
        </w:rPr>
        <w:t>APSTIPRINU</w:t>
      </w:r>
    </w:p>
    <w:p w14:paraId="0F99F16F" w14:textId="77777777" w:rsidR="00D90DB2" w:rsidRDefault="00D90DB2" w:rsidP="00D90DB2">
      <w:pPr>
        <w:jc w:val="right"/>
      </w:pPr>
      <w:r>
        <w:t xml:space="preserve">VSIA “Slimnīca “Ģintermuiža”” </w:t>
      </w:r>
    </w:p>
    <w:p w14:paraId="1FCFDDC8" w14:textId="2E335410" w:rsidR="00D90DB2" w:rsidRDefault="009614B7" w:rsidP="00D90DB2">
      <w:pPr>
        <w:jc w:val="right"/>
      </w:pPr>
      <w:r>
        <w:t>Izsoles komisijas priekšsēdētājs</w:t>
      </w:r>
      <w:r w:rsidR="00D90DB2">
        <w:t>______________</w:t>
      </w:r>
      <w:proofErr w:type="spellStart"/>
      <w:r>
        <w:t>M.Putns</w:t>
      </w:r>
      <w:proofErr w:type="spellEnd"/>
    </w:p>
    <w:p w14:paraId="047C0CD0" w14:textId="76F7B523" w:rsidR="00D90DB2" w:rsidRDefault="00D90DB2" w:rsidP="00D90DB2">
      <w:pPr>
        <w:jc w:val="right"/>
      </w:pPr>
      <w:r>
        <w:t xml:space="preserve">Jelgava, </w:t>
      </w:r>
      <w:r w:rsidR="00DD1B4B">
        <w:t>0</w:t>
      </w:r>
      <w:r w:rsidR="008B7D0E">
        <w:t>9</w:t>
      </w:r>
      <w:r>
        <w:t>.</w:t>
      </w:r>
      <w:r w:rsidR="00E90241">
        <w:t>0</w:t>
      </w:r>
      <w:r w:rsidR="008B7D0E">
        <w:t>1</w:t>
      </w:r>
      <w:r>
        <w:t>.202</w:t>
      </w:r>
      <w:r w:rsidR="00D50ED8">
        <w:t>4</w:t>
      </w:r>
      <w:r>
        <w:t>.</w:t>
      </w:r>
    </w:p>
    <w:p w14:paraId="26044229" w14:textId="77777777" w:rsidR="00D90DB2" w:rsidRDefault="00D90DB2" w:rsidP="00D90DB2"/>
    <w:p w14:paraId="0C6AD406" w14:textId="77777777" w:rsidR="00D90DB2" w:rsidRDefault="00D90DB2" w:rsidP="00D90DB2"/>
    <w:p w14:paraId="79549556" w14:textId="77777777" w:rsidR="00D90DB2" w:rsidRDefault="00D90DB2" w:rsidP="00D90DB2"/>
    <w:p w14:paraId="3CF1F60F" w14:textId="77777777" w:rsidR="00D90DB2" w:rsidRDefault="00D90DB2" w:rsidP="00D90DB2"/>
    <w:p w14:paraId="297973FE" w14:textId="77777777" w:rsidR="00D90DB2" w:rsidRDefault="00D90DB2" w:rsidP="00D90DB2"/>
    <w:p w14:paraId="3363A93F" w14:textId="77777777" w:rsidR="00D90DB2" w:rsidRDefault="00D90DB2" w:rsidP="00D90DB2"/>
    <w:p w14:paraId="1160A4CA" w14:textId="77777777" w:rsidR="00D90DB2" w:rsidRDefault="00D90DB2" w:rsidP="00D90DB2"/>
    <w:p w14:paraId="439E9720" w14:textId="77777777" w:rsidR="00D90DB2" w:rsidRPr="00D90DB2" w:rsidRDefault="00D90DB2" w:rsidP="00D90DB2">
      <w:pPr>
        <w:jc w:val="center"/>
        <w:rPr>
          <w:sz w:val="24"/>
        </w:rPr>
      </w:pPr>
      <w:r w:rsidRPr="00D90DB2">
        <w:rPr>
          <w:sz w:val="24"/>
        </w:rPr>
        <w:t>VSIA “Slimnīca “Ģintermuiža””</w:t>
      </w:r>
    </w:p>
    <w:p w14:paraId="361873E1" w14:textId="77777777" w:rsidR="00D90DB2" w:rsidRDefault="00D90DB2" w:rsidP="00D90DB2">
      <w:pPr>
        <w:jc w:val="center"/>
      </w:pPr>
      <w:r>
        <w:t>kustamās mantas</w:t>
      </w:r>
    </w:p>
    <w:p w14:paraId="63223CA1" w14:textId="2DCE96CD" w:rsidR="00D90DB2" w:rsidRPr="00D90DB2" w:rsidRDefault="00D90DB2" w:rsidP="00D90DB2">
      <w:pPr>
        <w:jc w:val="center"/>
        <w:rPr>
          <w:b/>
          <w:sz w:val="24"/>
        </w:rPr>
      </w:pPr>
      <w:r w:rsidRPr="00D90DB2">
        <w:rPr>
          <w:b/>
          <w:sz w:val="24"/>
        </w:rPr>
        <w:t xml:space="preserve">izsoles </w:t>
      </w:r>
      <w:r w:rsidR="000C4CD9">
        <w:rPr>
          <w:b/>
          <w:sz w:val="24"/>
        </w:rPr>
        <w:t>Nr.1/202</w:t>
      </w:r>
      <w:r w:rsidR="008B7D0E">
        <w:rPr>
          <w:b/>
          <w:sz w:val="24"/>
        </w:rPr>
        <w:t>4</w:t>
      </w:r>
      <w:r w:rsidR="000C4CD9">
        <w:rPr>
          <w:b/>
          <w:sz w:val="24"/>
        </w:rPr>
        <w:t xml:space="preserve"> </w:t>
      </w:r>
      <w:r w:rsidRPr="00D90DB2">
        <w:rPr>
          <w:b/>
          <w:sz w:val="24"/>
        </w:rPr>
        <w:t>noteikumi</w:t>
      </w:r>
    </w:p>
    <w:p w14:paraId="337CC7AD" w14:textId="77777777" w:rsidR="00D90DB2" w:rsidRDefault="00D90DB2" w:rsidP="00D90DB2"/>
    <w:p w14:paraId="550513DC" w14:textId="77777777" w:rsidR="00D90DB2" w:rsidRDefault="00D90DB2" w:rsidP="00D90DB2"/>
    <w:p w14:paraId="3ED7BADC" w14:textId="77777777" w:rsidR="00D90DB2" w:rsidRDefault="00D90DB2" w:rsidP="00D90DB2"/>
    <w:p w14:paraId="75285EE3" w14:textId="77777777" w:rsidR="00D90DB2" w:rsidRDefault="00D90DB2" w:rsidP="00D90DB2"/>
    <w:p w14:paraId="28CD29EB" w14:textId="77777777" w:rsidR="00D90DB2" w:rsidRDefault="00D90DB2" w:rsidP="00D90DB2"/>
    <w:p w14:paraId="61CDF529" w14:textId="77777777" w:rsidR="00D90DB2" w:rsidRDefault="00D90DB2" w:rsidP="00D90DB2"/>
    <w:p w14:paraId="3543091A" w14:textId="77777777" w:rsidR="00D90DB2" w:rsidRDefault="00D90DB2" w:rsidP="00D90DB2"/>
    <w:p w14:paraId="67C0F0CD" w14:textId="77777777" w:rsidR="00D90DB2" w:rsidRDefault="00D90DB2" w:rsidP="00D90DB2"/>
    <w:p w14:paraId="6FE2D7D0" w14:textId="77777777" w:rsidR="00D90DB2" w:rsidRDefault="00D90DB2" w:rsidP="00D90DB2"/>
    <w:p w14:paraId="6C7E439E" w14:textId="77777777" w:rsidR="00D90DB2" w:rsidRDefault="00D90DB2" w:rsidP="00D90DB2"/>
    <w:p w14:paraId="42F4E462" w14:textId="77777777" w:rsidR="00D90DB2" w:rsidRDefault="00D90DB2" w:rsidP="00D90DB2"/>
    <w:p w14:paraId="47EA514D" w14:textId="77777777" w:rsidR="00D90DB2" w:rsidRDefault="00D90DB2" w:rsidP="00D90DB2"/>
    <w:p w14:paraId="033DDEAD" w14:textId="77777777" w:rsidR="00D90DB2" w:rsidRDefault="00D90DB2" w:rsidP="00D90DB2"/>
    <w:p w14:paraId="7794554E" w14:textId="77777777" w:rsidR="00D90DB2" w:rsidRDefault="00D90DB2" w:rsidP="00D90DB2"/>
    <w:p w14:paraId="109995F7" w14:textId="77777777" w:rsidR="00D90DB2" w:rsidRDefault="00D90DB2" w:rsidP="00D90DB2"/>
    <w:p w14:paraId="6F1ADC40" w14:textId="77777777" w:rsidR="00D90DB2" w:rsidRDefault="00D90DB2" w:rsidP="00D90DB2"/>
    <w:p w14:paraId="748073F0" w14:textId="55DB7222" w:rsidR="00D90DB2" w:rsidRDefault="00D90DB2" w:rsidP="00D90DB2">
      <w:pPr>
        <w:jc w:val="center"/>
      </w:pPr>
      <w:r>
        <w:t>Jelgava, 202</w:t>
      </w:r>
      <w:r w:rsidR="008B7D0E">
        <w:t>4</w:t>
      </w:r>
      <w:r>
        <w:t>. gads</w:t>
      </w:r>
    </w:p>
    <w:p w14:paraId="7EECC594" w14:textId="77777777" w:rsidR="00D90DB2" w:rsidRPr="000C4CD9" w:rsidRDefault="00D90DB2" w:rsidP="00D90DB2">
      <w:pPr>
        <w:pStyle w:val="Virsraksts1"/>
        <w:rPr>
          <w:color w:val="000000" w:themeColor="text1"/>
        </w:rPr>
      </w:pPr>
      <w:r w:rsidRPr="000C4CD9">
        <w:rPr>
          <w:color w:val="000000" w:themeColor="text1"/>
        </w:rPr>
        <w:lastRenderedPageBreak/>
        <w:t xml:space="preserve"> Vispārīgie noteikumi</w:t>
      </w:r>
    </w:p>
    <w:p w14:paraId="5C64C7A9" w14:textId="595AA233" w:rsidR="00D90DB2" w:rsidRPr="00836264" w:rsidRDefault="00D90DB2" w:rsidP="00D90DB2">
      <w:pPr>
        <w:pStyle w:val="Sarakstarindkopa"/>
        <w:numPr>
          <w:ilvl w:val="0"/>
          <w:numId w:val="1"/>
        </w:numPr>
        <w:ind w:left="284" w:hanging="284"/>
        <w:jc w:val="both"/>
      </w:pPr>
      <w:r>
        <w:t xml:space="preserve">VSIA “Slimnīca “Ģintermuiža”” (turpmāk - Uzņēmums) atbilstoši "Publiskas personas mantas atsavināšanas likumā" (turpmāk - Likums) </w:t>
      </w:r>
      <w:r w:rsidR="00E80D75">
        <w:t>rakstiskā</w:t>
      </w:r>
      <w:r>
        <w:t xml:space="preserve"> izsolē (turpmāk - Izsole) atsavina (pārdodot Izsolē) Uzņēmuma īpašumā esošo kustamo mantu - Pielikums Nr. 1, par kur</w:t>
      </w:r>
      <w:r w:rsidR="008B7D0E">
        <w:t>as</w:t>
      </w:r>
      <w:r>
        <w:t xml:space="preserve"> atsavināšanu izdots 202</w:t>
      </w:r>
      <w:r w:rsidR="008B7D0E">
        <w:t>4</w:t>
      </w:r>
      <w:r>
        <w:t xml:space="preserve">.g. </w:t>
      </w:r>
      <w:r w:rsidR="008B7D0E">
        <w:t>03.janvāra</w:t>
      </w:r>
      <w:r>
        <w:t xml:space="preserve"> </w:t>
      </w:r>
      <w:r w:rsidRPr="00836264">
        <w:t>rīkojums Nr.</w:t>
      </w:r>
      <w:r w:rsidR="000C4CD9" w:rsidRPr="00836264">
        <w:t>6</w:t>
      </w:r>
      <w:r w:rsidRPr="00836264">
        <w:t>.</w:t>
      </w:r>
    </w:p>
    <w:p w14:paraId="214C72D7" w14:textId="01CDA3A9" w:rsidR="00D90DB2" w:rsidRDefault="00D90DB2" w:rsidP="00D90DB2">
      <w:pPr>
        <w:pStyle w:val="Sarakstarindkopa"/>
        <w:numPr>
          <w:ilvl w:val="0"/>
          <w:numId w:val="1"/>
        </w:numPr>
        <w:ind w:left="284" w:hanging="284"/>
        <w:jc w:val="both"/>
      </w:pPr>
      <w:r>
        <w:t>Uzņēmuma kustamo mantu pirms Izsoles var apskatīt turpmāk norādītajā laikā un vietā, pirms apskates datuma sazinoties ar VSIA “Slimnīca “Ģintermuiža”” kontaktperson</w:t>
      </w:r>
      <w:r w:rsidR="00836264">
        <w:t>u</w:t>
      </w:r>
      <w:r>
        <w:t xml:space="preserve">: </w:t>
      </w:r>
    </w:p>
    <w:tbl>
      <w:tblPr>
        <w:tblW w:w="8499" w:type="dxa"/>
        <w:tblInd w:w="10" w:type="dxa"/>
        <w:tblLayout w:type="fixed"/>
        <w:tblCellMar>
          <w:left w:w="10" w:type="dxa"/>
          <w:right w:w="10" w:type="dxa"/>
        </w:tblCellMar>
        <w:tblLook w:val="0000" w:firstRow="0" w:lastRow="0" w:firstColumn="0" w:lastColumn="0" w:noHBand="0" w:noVBand="0"/>
      </w:tblPr>
      <w:tblGrid>
        <w:gridCol w:w="1619"/>
        <w:gridCol w:w="1346"/>
        <w:gridCol w:w="1483"/>
        <w:gridCol w:w="1752"/>
        <w:gridCol w:w="2299"/>
      </w:tblGrid>
      <w:tr w:rsidR="00D90DB2" w14:paraId="77E0145D" w14:textId="77777777" w:rsidTr="000C4CD9">
        <w:trPr>
          <w:trHeight w:hRule="exact" w:val="627"/>
        </w:trPr>
        <w:tc>
          <w:tcPr>
            <w:tcW w:w="1619" w:type="dxa"/>
            <w:tcBorders>
              <w:top w:val="single" w:sz="4" w:space="0" w:color="auto"/>
              <w:left w:val="single" w:sz="4" w:space="0" w:color="auto"/>
              <w:bottom w:val="single" w:sz="4" w:space="0" w:color="auto"/>
            </w:tcBorders>
            <w:shd w:val="clear" w:color="auto" w:fill="FFFFFF"/>
            <w:vAlign w:val="bottom"/>
          </w:tcPr>
          <w:p w14:paraId="4C9977DB" w14:textId="77777777" w:rsidR="00D90DB2" w:rsidRDefault="00D90DB2" w:rsidP="00D90DB2">
            <w:pPr>
              <w:spacing w:after="0" w:line="250" w:lineRule="exact"/>
            </w:pPr>
            <w:r>
              <w:rPr>
                <w:rStyle w:val="Bodytext2105ptBold"/>
                <w:rFonts w:eastAsiaTheme="minorHAnsi"/>
              </w:rPr>
              <w:t>VSIA “Slimnīca “Ģintermuiža””</w:t>
            </w:r>
          </w:p>
        </w:tc>
        <w:tc>
          <w:tcPr>
            <w:tcW w:w="1346" w:type="dxa"/>
            <w:tcBorders>
              <w:top w:val="single" w:sz="4" w:space="0" w:color="auto"/>
              <w:left w:val="single" w:sz="4" w:space="0" w:color="auto"/>
              <w:bottom w:val="single" w:sz="4" w:space="0" w:color="auto"/>
            </w:tcBorders>
            <w:shd w:val="clear" w:color="auto" w:fill="FFFFFF"/>
            <w:vAlign w:val="bottom"/>
          </w:tcPr>
          <w:p w14:paraId="3697E62C" w14:textId="77777777" w:rsidR="00D90DB2" w:rsidRDefault="00D90DB2" w:rsidP="00D90DB2">
            <w:pPr>
              <w:spacing w:after="60" w:line="210" w:lineRule="exact"/>
            </w:pPr>
            <w:r>
              <w:rPr>
                <w:rStyle w:val="Bodytext2105ptBold"/>
                <w:rFonts w:eastAsiaTheme="minorHAnsi"/>
              </w:rPr>
              <w:t>Apskates</w:t>
            </w:r>
          </w:p>
          <w:p w14:paraId="7C66091C" w14:textId="77777777" w:rsidR="00D90DB2" w:rsidRDefault="00D90DB2" w:rsidP="00D90DB2">
            <w:pPr>
              <w:spacing w:before="60" w:after="0" w:line="210" w:lineRule="exact"/>
            </w:pPr>
            <w:r>
              <w:rPr>
                <w:rStyle w:val="Bodytext2105ptBold"/>
                <w:rFonts w:eastAsiaTheme="minorHAnsi"/>
              </w:rPr>
              <w:t>laiks:</w:t>
            </w:r>
          </w:p>
        </w:tc>
        <w:tc>
          <w:tcPr>
            <w:tcW w:w="1483" w:type="dxa"/>
            <w:tcBorders>
              <w:top w:val="single" w:sz="4" w:space="0" w:color="auto"/>
              <w:left w:val="single" w:sz="4" w:space="0" w:color="auto"/>
              <w:bottom w:val="single" w:sz="4" w:space="0" w:color="auto"/>
            </w:tcBorders>
            <w:shd w:val="clear" w:color="auto" w:fill="FFFFFF"/>
            <w:vAlign w:val="bottom"/>
          </w:tcPr>
          <w:p w14:paraId="71788349" w14:textId="77777777" w:rsidR="00D90DB2" w:rsidRDefault="00D90DB2" w:rsidP="00D90DB2">
            <w:pPr>
              <w:spacing w:after="0" w:line="254" w:lineRule="exact"/>
            </w:pPr>
            <w:r>
              <w:rPr>
                <w:rStyle w:val="Bodytext2105ptBold"/>
                <w:rFonts w:eastAsiaTheme="minorHAnsi"/>
              </w:rPr>
              <w:t>Kontaktpersona Vārds, uzvārds:</w:t>
            </w:r>
          </w:p>
        </w:tc>
        <w:tc>
          <w:tcPr>
            <w:tcW w:w="1752" w:type="dxa"/>
            <w:tcBorders>
              <w:top w:val="single" w:sz="4" w:space="0" w:color="auto"/>
              <w:left w:val="single" w:sz="4" w:space="0" w:color="auto"/>
              <w:bottom w:val="single" w:sz="4" w:space="0" w:color="auto"/>
            </w:tcBorders>
            <w:shd w:val="clear" w:color="auto" w:fill="FFFFFF"/>
            <w:vAlign w:val="center"/>
          </w:tcPr>
          <w:p w14:paraId="37517B22" w14:textId="77777777" w:rsidR="00D90DB2" w:rsidRDefault="00D90DB2" w:rsidP="00D90DB2">
            <w:pPr>
              <w:spacing w:after="0" w:line="210" w:lineRule="exact"/>
            </w:pPr>
            <w:r>
              <w:rPr>
                <w:rStyle w:val="Bodytext2105ptBold"/>
                <w:rFonts w:eastAsiaTheme="minorHAnsi"/>
              </w:rPr>
              <w:t>Telefona Nr.</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4BEDABAE" w14:textId="77777777" w:rsidR="00D90DB2" w:rsidRDefault="00D90DB2" w:rsidP="00D90DB2">
            <w:pPr>
              <w:spacing w:after="0" w:line="254" w:lineRule="exact"/>
            </w:pPr>
            <w:r>
              <w:rPr>
                <w:rStyle w:val="Bodytext2105ptBold"/>
                <w:rFonts w:eastAsiaTheme="minorHAnsi"/>
              </w:rPr>
              <w:t>Kontaktpersonas E-pasta adrese:</w:t>
            </w:r>
          </w:p>
        </w:tc>
      </w:tr>
      <w:tr w:rsidR="00D90DB2" w14:paraId="42BB6AD8" w14:textId="77777777" w:rsidTr="00C64218">
        <w:trPr>
          <w:trHeight w:hRule="exact" w:val="604"/>
        </w:trPr>
        <w:tc>
          <w:tcPr>
            <w:tcW w:w="1619" w:type="dxa"/>
            <w:tcBorders>
              <w:top w:val="single" w:sz="4" w:space="0" w:color="auto"/>
              <w:left w:val="single" w:sz="4" w:space="0" w:color="auto"/>
              <w:bottom w:val="single" w:sz="4" w:space="0" w:color="auto"/>
            </w:tcBorders>
            <w:shd w:val="clear" w:color="auto" w:fill="FFFFFF"/>
            <w:vAlign w:val="bottom"/>
          </w:tcPr>
          <w:p w14:paraId="6A7A3209" w14:textId="77777777" w:rsidR="00D90DB2" w:rsidRDefault="00D90DB2" w:rsidP="00D90DB2">
            <w:pPr>
              <w:spacing w:after="0" w:line="288" w:lineRule="exact"/>
              <w:jc w:val="center"/>
            </w:pPr>
            <w:r>
              <w:rPr>
                <w:rStyle w:val="Bodytext20"/>
                <w:rFonts w:eastAsiaTheme="minorHAnsi"/>
              </w:rPr>
              <w:t>Filozofu ielā 69, Jelgavā</w:t>
            </w:r>
          </w:p>
        </w:tc>
        <w:tc>
          <w:tcPr>
            <w:tcW w:w="1346" w:type="dxa"/>
            <w:tcBorders>
              <w:top w:val="single" w:sz="4" w:space="0" w:color="auto"/>
              <w:left w:val="single" w:sz="4" w:space="0" w:color="auto"/>
              <w:bottom w:val="single" w:sz="4" w:space="0" w:color="auto"/>
            </w:tcBorders>
            <w:shd w:val="clear" w:color="auto" w:fill="FFFFFF"/>
            <w:vAlign w:val="bottom"/>
          </w:tcPr>
          <w:p w14:paraId="6CDE8604" w14:textId="77777777" w:rsidR="00D90DB2" w:rsidRDefault="00D90DB2" w:rsidP="00D90DB2">
            <w:pPr>
              <w:spacing w:after="60" w:line="200" w:lineRule="exact"/>
              <w:jc w:val="center"/>
            </w:pPr>
            <w:r>
              <w:rPr>
                <w:rStyle w:val="Bodytext20"/>
                <w:rFonts w:eastAsiaTheme="minorHAnsi"/>
              </w:rPr>
              <w:t>Iepriekš</w:t>
            </w:r>
          </w:p>
          <w:p w14:paraId="2FC8463C" w14:textId="77777777" w:rsidR="00D90DB2" w:rsidRDefault="00D90DB2" w:rsidP="00D90DB2">
            <w:pPr>
              <w:spacing w:before="60" w:after="0" w:line="200" w:lineRule="exact"/>
              <w:ind w:left="220"/>
            </w:pPr>
            <w:r>
              <w:rPr>
                <w:rStyle w:val="Bodytext20"/>
                <w:rFonts w:eastAsiaTheme="minorHAnsi"/>
              </w:rPr>
              <w:t>vienojoties</w:t>
            </w:r>
          </w:p>
        </w:tc>
        <w:tc>
          <w:tcPr>
            <w:tcW w:w="1483" w:type="dxa"/>
            <w:tcBorders>
              <w:top w:val="single" w:sz="4" w:space="0" w:color="auto"/>
              <w:left w:val="single" w:sz="4" w:space="0" w:color="auto"/>
              <w:bottom w:val="single" w:sz="4" w:space="0" w:color="auto"/>
            </w:tcBorders>
            <w:shd w:val="clear" w:color="auto" w:fill="FFFFFF"/>
            <w:vAlign w:val="center"/>
          </w:tcPr>
          <w:p w14:paraId="313B2C29" w14:textId="50C1906D" w:rsidR="00D90DB2" w:rsidRDefault="00836264" w:rsidP="00D90DB2">
            <w:pPr>
              <w:spacing w:after="0" w:line="200" w:lineRule="exact"/>
              <w:ind w:left="180"/>
            </w:pPr>
            <w:r>
              <w:rPr>
                <w:rStyle w:val="Bodytext20"/>
                <w:rFonts w:eastAsiaTheme="minorHAnsi"/>
              </w:rPr>
              <w:t>Ivars</w:t>
            </w:r>
            <w:r w:rsidR="00E90241">
              <w:rPr>
                <w:rStyle w:val="Bodytext20"/>
                <w:rFonts w:eastAsiaTheme="minorHAnsi"/>
              </w:rPr>
              <w:t xml:space="preserve"> </w:t>
            </w:r>
            <w:r>
              <w:rPr>
                <w:rStyle w:val="Bodytext20"/>
                <w:rFonts w:eastAsiaTheme="minorHAnsi"/>
              </w:rPr>
              <w:t>Indāns</w:t>
            </w:r>
          </w:p>
        </w:tc>
        <w:tc>
          <w:tcPr>
            <w:tcW w:w="1752" w:type="dxa"/>
            <w:tcBorders>
              <w:top w:val="single" w:sz="4" w:space="0" w:color="auto"/>
              <w:left w:val="single" w:sz="4" w:space="0" w:color="auto"/>
              <w:bottom w:val="single" w:sz="4" w:space="0" w:color="auto"/>
            </w:tcBorders>
            <w:shd w:val="clear" w:color="auto" w:fill="FFFFFF"/>
            <w:vAlign w:val="center"/>
          </w:tcPr>
          <w:p w14:paraId="4619FBDC" w14:textId="105FF910" w:rsidR="00D90DB2" w:rsidRDefault="00BE03E3" w:rsidP="00D90DB2">
            <w:pPr>
              <w:spacing w:after="0" w:line="200" w:lineRule="exact"/>
              <w:jc w:val="center"/>
            </w:pPr>
            <w:r>
              <w:rPr>
                <w:rStyle w:val="Bodytext20"/>
                <w:rFonts w:eastAsiaTheme="minorHAnsi"/>
              </w:rPr>
              <w:t>22159966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6DDFEE07" w14:textId="47ECDAB4" w:rsidR="00D90DB2" w:rsidRDefault="00BE03E3" w:rsidP="00D90DB2">
            <w:pPr>
              <w:spacing w:after="0" w:line="200" w:lineRule="exact"/>
            </w:pPr>
            <w:r>
              <w:rPr>
                <w:sz w:val="18"/>
              </w:rPr>
              <w:t>ivars</w:t>
            </w:r>
            <w:r w:rsidR="00E90241">
              <w:rPr>
                <w:sz w:val="18"/>
              </w:rPr>
              <w:t>.</w:t>
            </w:r>
            <w:r>
              <w:rPr>
                <w:sz w:val="18"/>
              </w:rPr>
              <w:t>ind</w:t>
            </w:r>
            <w:r w:rsidR="00C64218">
              <w:rPr>
                <w:sz w:val="18"/>
              </w:rPr>
              <w:t>a</w:t>
            </w:r>
            <w:r>
              <w:rPr>
                <w:sz w:val="18"/>
              </w:rPr>
              <w:t>ns</w:t>
            </w:r>
            <w:r w:rsidR="00D90DB2" w:rsidRPr="000C1D58">
              <w:rPr>
                <w:sz w:val="18"/>
              </w:rPr>
              <w:t>@gintermuiza.lv</w:t>
            </w:r>
          </w:p>
        </w:tc>
      </w:tr>
    </w:tbl>
    <w:p w14:paraId="085844B9" w14:textId="77777777" w:rsidR="00D90DB2" w:rsidRDefault="00D90DB2" w:rsidP="00D90DB2">
      <w:r>
        <w:tab/>
      </w:r>
      <w:r>
        <w:tab/>
      </w:r>
      <w:r>
        <w:tab/>
      </w:r>
    </w:p>
    <w:p w14:paraId="3D5110A6" w14:textId="4A1769B9" w:rsidR="00D90DB2" w:rsidRDefault="00D90DB2" w:rsidP="00D90DB2">
      <w:pPr>
        <w:pStyle w:val="Sarakstarindkopa"/>
        <w:numPr>
          <w:ilvl w:val="0"/>
          <w:numId w:val="1"/>
        </w:numPr>
        <w:ind w:left="284" w:hanging="284"/>
        <w:jc w:val="both"/>
      </w:pPr>
      <w:r>
        <w:t>Izsole notiks 202</w:t>
      </w:r>
      <w:r w:rsidR="008B7D0E">
        <w:t>4</w:t>
      </w:r>
      <w:r>
        <w:t xml:space="preserve">. gada </w:t>
      </w:r>
      <w:r w:rsidR="008B7D0E">
        <w:t>2</w:t>
      </w:r>
      <w:r w:rsidR="00E90241">
        <w:t>6</w:t>
      </w:r>
      <w:r>
        <w:t xml:space="preserve">. </w:t>
      </w:r>
      <w:r w:rsidR="008B7D0E">
        <w:t>janvārī</w:t>
      </w:r>
      <w:r>
        <w:t xml:space="preserve">, VSIA “Slimnīca “Ģintermuiža”” telpās, Filozofu ielā 69, Jelgavā, </w:t>
      </w:r>
      <w:r w:rsidR="00D0175B">
        <w:t>administratīvajā ēkā, 51. kabinetā</w:t>
      </w:r>
      <w:r>
        <w:t xml:space="preserve"> plkst. 10.00.</w:t>
      </w:r>
    </w:p>
    <w:p w14:paraId="69F886EB" w14:textId="5538C2FA" w:rsidR="00D90DB2" w:rsidRDefault="00D90DB2" w:rsidP="00D90DB2">
      <w:pPr>
        <w:pStyle w:val="Sarakstarindkopa"/>
        <w:numPr>
          <w:ilvl w:val="0"/>
          <w:numId w:val="1"/>
        </w:numPr>
        <w:ind w:left="284" w:hanging="284"/>
        <w:jc w:val="both"/>
      </w:pPr>
      <w:r>
        <w:t>Sludinājums par Izsoli publicējams Uzņēmuma mājaslapā internetā, sadaļā "Izsole", ne vēlāk kā divas nedēļas pirms kustamās mantas izsoles noteikumu 6.punktā noteiktās pieteikumu reģistrācijas termiņa beigām.</w:t>
      </w:r>
    </w:p>
    <w:p w14:paraId="7E5CE4AC" w14:textId="77777777" w:rsidR="00D90DB2" w:rsidRPr="000C4CD9" w:rsidRDefault="00D90DB2" w:rsidP="00D90DB2">
      <w:pPr>
        <w:pStyle w:val="Virsraksts1"/>
        <w:rPr>
          <w:color w:val="000000" w:themeColor="text1"/>
        </w:rPr>
      </w:pPr>
      <w:r w:rsidRPr="000C4CD9">
        <w:rPr>
          <w:color w:val="000000" w:themeColor="text1"/>
        </w:rPr>
        <w:t>Pieteikumu iesniegšanas un reģistrācijas kārtība</w:t>
      </w:r>
    </w:p>
    <w:p w14:paraId="4CBD8BA0" w14:textId="77777777" w:rsidR="00D90DB2" w:rsidRDefault="00D90DB2" w:rsidP="00D90DB2">
      <w:pPr>
        <w:pStyle w:val="Sarakstarindkopa"/>
        <w:numPr>
          <w:ilvl w:val="0"/>
          <w:numId w:val="1"/>
        </w:numPr>
        <w:ind w:left="284" w:hanging="284"/>
        <w:jc w:val="both"/>
      </w:pPr>
      <w:r>
        <w:t>Izsolē var piedalīties fiziska persona, juridiska persona, kā arī personālsabiedrība, kas saskaņā ar Latvijas Republikā spēkā esošajiem normatīvajiem aktiem var iegūt īpašumā kustamo mantu, un noteiktajā termiņā un kārtībā ir izpildījusi Izsoles noteikumu prasības.</w:t>
      </w:r>
    </w:p>
    <w:p w14:paraId="1EA25DC2" w14:textId="52CFB15A" w:rsidR="00D90DB2" w:rsidRDefault="00D90DB2" w:rsidP="00D90DB2">
      <w:pPr>
        <w:pStyle w:val="Sarakstarindkopa"/>
        <w:numPr>
          <w:ilvl w:val="0"/>
          <w:numId w:val="1"/>
        </w:numPr>
        <w:ind w:left="284" w:hanging="284"/>
        <w:jc w:val="both"/>
      </w:pPr>
      <w:r>
        <w:t xml:space="preserve">Pieteikumu reģistrācija tiek uzsākta pēc sludinājuma publicēšanas Uzņēmuma mājaslapā. Reģistrācija notiek, iepriekš piesakoties pa tālruni </w:t>
      </w:r>
      <w:r w:rsidR="00FE2B98">
        <w:t>29483263</w:t>
      </w:r>
      <w:r w:rsidR="00C64218">
        <w:t xml:space="preserve">, vai nosūtot e-pastu </w:t>
      </w:r>
      <w:r w:rsidR="00CE3677">
        <w:t xml:space="preserve">uz </w:t>
      </w:r>
      <w:hyperlink r:id="rId8" w:history="1">
        <w:r w:rsidR="00CE3677" w:rsidRPr="00276F65">
          <w:rPr>
            <w:rStyle w:val="Hipersaite"/>
          </w:rPr>
          <w:t>slimnica@gintermuiza.lv</w:t>
        </w:r>
      </w:hyperlink>
      <w:r w:rsidR="00CE3677">
        <w:t xml:space="preserve"> </w:t>
      </w:r>
      <w:r>
        <w:t>. Dalībnieku reģistrācija tiek noteikta līdz 202</w:t>
      </w:r>
      <w:r w:rsidR="008B7D0E">
        <w:t>4</w:t>
      </w:r>
      <w:r>
        <w:t xml:space="preserve">.gada </w:t>
      </w:r>
      <w:r w:rsidR="008B7D0E">
        <w:t>2</w:t>
      </w:r>
      <w:r w:rsidR="00E90241">
        <w:t>6</w:t>
      </w:r>
      <w:r>
        <w:t>.</w:t>
      </w:r>
      <w:r w:rsidR="008B7D0E">
        <w:t xml:space="preserve"> janvārim</w:t>
      </w:r>
      <w:r>
        <w:t xml:space="preserve"> plkst. 0</w:t>
      </w:r>
      <w:r w:rsidR="008B7D0E">
        <w:t>9</w:t>
      </w:r>
      <w:r>
        <w:t>.00 .</w:t>
      </w:r>
    </w:p>
    <w:p w14:paraId="55F38CC7" w14:textId="77777777" w:rsidR="00D90DB2" w:rsidRDefault="00D90DB2" w:rsidP="00D90DB2">
      <w:pPr>
        <w:pStyle w:val="Sarakstarindkopa"/>
        <w:numPr>
          <w:ilvl w:val="0"/>
          <w:numId w:val="1"/>
        </w:numPr>
        <w:ind w:left="284" w:hanging="284"/>
        <w:jc w:val="both"/>
      </w:pPr>
      <w:r>
        <w:t>Pieteikuma iesniedzējam:</w:t>
      </w:r>
    </w:p>
    <w:p w14:paraId="7B6C9C0F" w14:textId="53EFB986" w:rsidR="00D90DB2" w:rsidRDefault="00D90DB2" w:rsidP="00D90DB2">
      <w:pPr>
        <w:pStyle w:val="Sarakstarindkopa"/>
        <w:numPr>
          <w:ilvl w:val="1"/>
          <w:numId w:val="1"/>
        </w:numPr>
        <w:jc w:val="both"/>
      </w:pPr>
      <w:r>
        <w:t xml:space="preserve">atbilstoši Likuma 16.pantam jāpārskaita nodrošinājums 10% (desmit procentu) apmērā no Izsoles noteikumu pielikumā norādītās nosacītās cenas (piedaloties Izsoles pirmajā kārtā, nodrošinājums 10% (desmit procenti) apmērā no kustamās mantas nosacītās cenas, VSIA “Slimnīca “Ģintermuiža”” kontā: </w:t>
      </w:r>
      <w:proofErr w:type="spellStart"/>
      <w:r>
        <w:t>Swedbanka</w:t>
      </w:r>
      <w:proofErr w:type="spellEnd"/>
      <w:r>
        <w:t>, LV36HABA0140705715600, norādot mērķi: "Kustamās mantas  izsoles nodrošinājum</w:t>
      </w:r>
      <w:r w:rsidR="008B7D0E">
        <w:t>s</w:t>
      </w:r>
      <w:r>
        <w:t>"</w:t>
      </w:r>
      <w:r w:rsidR="008B7D0E">
        <w:t>.</w:t>
      </w:r>
      <w:r>
        <w:t xml:space="preserve"> Nodrošinājums uzskatāms par iesniegtu, ja attiecīgā naudas summa ir ieskaitīta norādītajā norēķinu kontā līdz Izsoles noteikumos noteiktajam pieteikumu reģistrācijas termiņam;</w:t>
      </w:r>
    </w:p>
    <w:p w14:paraId="10ABEFA0" w14:textId="2501CC0D" w:rsidR="00D90DB2" w:rsidRDefault="008B7D0E" w:rsidP="00D90DB2">
      <w:pPr>
        <w:pStyle w:val="Sarakstarindkopa"/>
        <w:numPr>
          <w:ilvl w:val="1"/>
          <w:numId w:val="1"/>
        </w:numPr>
        <w:jc w:val="both"/>
      </w:pPr>
      <w:r>
        <w:t xml:space="preserve">personīgi VSIA “Slimnīca “Ģintermuiža”” sekretariātā,  </w:t>
      </w:r>
      <w:r w:rsidR="00D90DB2">
        <w:t>jāiesniedz šādi dokumenti un informācija:</w:t>
      </w:r>
    </w:p>
    <w:p w14:paraId="2F14907D" w14:textId="77777777" w:rsidR="00D90DB2" w:rsidRDefault="00D90DB2" w:rsidP="00D90DB2">
      <w:pPr>
        <w:pStyle w:val="Sarakstarindkopa"/>
        <w:numPr>
          <w:ilvl w:val="2"/>
          <w:numId w:val="1"/>
        </w:numPr>
        <w:jc w:val="both"/>
      </w:pPr>
      <w:r>
        <w:t>fiziskai personai:</w:t>
      </w:r>
    </w:p>
    <w:p w14:paraId="42F7CA33" w14:textId="365CB222" w:rsidR="00D90DB2" w:rsidRDefault="0019344A" w:rsidP="00D90DB2">
      <w:pPr>
        <w:pStyle w:val="Sarakstarindkopa"/>
        <w:numPr>
          <w:ilvl w:val="3"/>
          <w:numId w:val="1"/>
        </w:numPr>
        <w:jc w:val="both"/>
      </w:pPr>
      <w:r>
        <w:t xml:space="preserve">jāuzrāda </w:t>
      </w:r>
      <w:r w:rsidR="00D90DB2">
        <w:t>pase vai personas apliecība;</w:t>
      </w:r>
    </w:p>
    <w:p w14:paraId="3714E89C" w14:textId="485A1BEF" w:rsidR="00D90DB2" w:rsidRDefault="003E6A45" w:rsidP="00D90DB2">
      <w:pPr>
        <w:pStyle w:val="Sarakstarindkopa"/>
        <w:numPr>
          <w:ilvl w:val="3"/>
          <w:numId w:val="1"/>
        </w:numPr>
        <w:jc w:val="both"/>
      </w:pPr>
      <w:r>
        <w:t xml:space="preserve">jānorāda </w:t>
      </w:r>
      <w:r w:rsidR="00D90DB2">
        <w:t>deklarētās dzīvesvietas adrese;</w:t>
      </w:r>
    </w:p>
    <w:p w14:paraId="382C7998" w14:textId="77777777" w:rsidR="00D90DB2" w:rsidRDefault="00D90DB2" w:rsidP="00D90DB2">
      <w:pPr>
        <w:pStyle w:val="Sarakstarindkopa"/>
        <w:numPr>
          <w:ilvl w:val="3"/>
          <w:numId w:val="1"/>
        </w:numPr>
        <w:jc w:val="both"/>
      </w:pPr>
      <w:r>
        <w:t>dokumenta kopija, kas apliecina Izsoles noteikumu 7.1.apakšpunktā minētā nodrošinājuma samaksu.</w:t>
      </w:r>
    </w:p>
    <w:p w14:paraId="1D419CA7" w14:textId="504CFF95" w:rsidR="00E80D75" w:rsidRDefault="00E80D75" w:rsidP="00D90DB2">
      <w:pPr>
        <w:pStyle w:val="Sarakstarindkopa"/>
        <w:numPr>
          <w:ilvl w:val="3"/>
          <w:numId w:val="1"/>
        </w:numPr>
        <w:jc w:val="both"/>
      </w:pPr>
      <w:r>
        <w:t>Piedāvāto kustamās mantas iegādes cenu, norādot to ne zemāku kā izsoles noteikumu pielikumā norādītā nosacītā cena</w:t>
      </w:r>
      <w:r w:rsidR="00492FDC">
        <w:t xml:space="preserve"> (slēgtā aploksnē)</w:t>
      </w:r>
      <w:r>
        <w:t xml:space="preserve">. </w:t>
      </w:r>
    </w:p>
    <w:p w14:paraId="792383BD" w14:textId="77777777" w:rsidR="00D90DB2" w:rsidRDefault="00D90DB2" w:rsidP="00D90DB2">
      <w:pPr>
        <w:pStyle w:val="Sarakstarindkopa"/>
        <w:numPr>
          <w:ilvl w:val="2"/>
          <w:numId w:val="1"/>
        </w:numPr>
        <w:jc w:val="both"/>
      </w:pPr>
      <w:r>
        <w:t>juridiskai personai:</w:t>
      </w:r>
    </w:p>
    <w:p w14:paraId="6281D807" w14:textId="77777777" w:rsidR="00D90DB2" w:rsidRDefault="00D90DB2" w:rsidP="00D90DB2">
      <w:pPr>
        <w:pStyle w:val="Sarakstarindkopa"/>
        <w:numPr>
          <w:ilvl w:val="3"/>
          <w:numId w:val="1"/>
        </w:numPr>
        <w:jc w:val="both"/>
      </w:pPr>
      <w:r>
        <w:t>komercsabiedrības nosaukums un juridiskā adrese;</w:t>
      </w:r>
    </w:p>
    <w:p w14:paraId="2A4973D0" w14:textId="77777777" w:rsidR="00D90DB2" w:rsidRDefault="00D90DB2" w:rsidP="00D90DB2">
      <w:pPr>
        <w:pStyle w:val="Sarakstarindkopa"/>
        <w:numPr>
          <w:ilvl w:val="3"/>
          <w:numId w:val="1"/>
        </w:numPr>
        <w:jc w:val="both"/>
      </w:pPr>
      <w:r>
        <w:lastRenderedPageBreak/>
        <w:t>dokumenta kopija, kas apliecina Izsoles noteikumu 7.1.apakšpunk</w:t>
      </w:r>
      <w:r w:rsidR="00E80D75">
        <w:t>tā minētā nodrošinājuma samaksu;</w:t>
      </w:r>
    </w:p>
    <w:p w14:paraId="5EECC249" w14:textId="2868B157" w:rsidR="00E80D75" w:rsidRDefault="00E80D75" w:rsidP="00E80D75">
      <w:pPr>
        <w:pStyle w:val="Sarakstarindkopa"/>
        <w:numPr>
          <w:ilvl w:val="3"/>
          <w:numId w:val="1"/>
        </w:numPr>
        <w:jc w:val="both"/>
      </w:pPr>
      <w:r>
        <w:t>Piedāvāto kustamās mantas iegādes cenu, norādot to ne zemāku kā izsoles noteikumu pielikumā norādītā nosacītā cena</w:t>
      </w:r>
      <w:r w:rsidR="00492FDC">
        <w:t xml:space="preserve"> (slēgtā aploksnē)</w:t>
      </w:r>
      <w:r>
        <w:t xml:space="preserve">. </w:t>
      </w:r>
    </w:p>
    <w:p w14:paraId="3BE64E8D" w14:textId="77777777" w:rsidR="00E80D75" w:rsidRDefault="00E80D75" w:rsidP="00E80D75">
      <w:pPr>
        <w:pStyle w:val="Sarakstarindkopa"/>
        <w:ind w:left="2160"/>
        <w:jc w:val="both"/>
      </w:pPr>
    </w:p>
    <w:p w14:paraId="0D603D82" w14:textId="77777777" w:rsidR="00D90DB2" w:rsidRDefault="00D90DB2" w:rsidP="00D90DB2">
      <w:pPr>
        <w:pStyle w:val="Sarakstarindkopa"/>
        <w:numPr>
          <w:ilvl w:val="0"/>
          <w:numId w:val="1"/>
        </w:numPr>
        <w:ind w:left="284" w:hanging="284"/>
        <w:jc w:val="both"/>
      </w:pPr>
      <w:r>
        <w:t>Pieteikumu nereģistrē, ja:</w:t>
      </w:r>
    </w:p>
    <w:p w14:paraId="4024663D" w14:textId="77777777" w:rsidR="00D90DB2" w:rsidRDefault="00D90DB2" w:rsidP="00D90DB2">
      <w:pPr>
        <w:pStyle w:val="Sarakstarindkopa"/>
        <w:numPr>
          <w:ilvl w:val="1"/>
          <w:numId w:val="1"/>
        </w:numPr>
        <w:jc w:val="both"/>
      </w:pPr>
      <w:r>
        <w:t>nav sācies vai jau ir beidzies pieteikumu reģistrācijas termiņš;</w:t>
      </w:r>
    </w:p>
    <w:p w14:paraId="4F730CF9" w14:textId="77777777" w:rsidR="00D90DB2" w:rsidRDefault="00D90DB2" w:rsidP="00D90DB2">
      <w:pPr>
        <w:pStyle w:val="Sarakstarindkopa"/>
        <w:numPr>
          <w:ilvl w:val="1"/>
          <w:numId w:val="1"/>
        </w:numPr>
        <w:jc w:val="both"/>
      </w:pPr>
      <w:r>
        <w:t>nav uzrādīti vai iesniegti visi Izsoles noteikumu 7.1. vai 7.2.apakšpunktā minētie pieteikuma reģistrācijas dokumenti;</w:t>
      </w:r>
    </w:p>
    <w:p w14:paraId="0BC58BFE" w14:textId="77777777" w:rsidR="00D90DB2" w:rsidRDefault="00D90DB2" w:rsidP="00D90DB2">
      <w:pPr>
        <w:pStyle w:val="Sarakstarindkopa"/>
        <w:numPr>
          <w:ilvl w:val="1"/>
          <w:numId w:val="1"/>
        </w:numPr>
        <w:jc w:val="both"/>
      </w:pPr>
      <w:r>
        <w:t>pieteikuma iesniedzējs sniedzis nepatiesu informāciju;</w:t>
      </w:r>
    </w:p>
    <w:p w14:paraId="34985974" w14:textId="77777777" w:rsidR="00D90DB2" w:rsidRDefault="00D90DB2" w:rsidP="00D90DB2">
      <w:pPr>
        <w:pStyle w:val="Sarakstarindkopa"/>
        <w:numPr>
          <w:ilvl w:val="0"/>
          <w:numId w:val="1"/>
        </w:numPr>
        <w:ind w:left="284" w:hanging="284"/>
        <w:jc w:val="both"/>
      </w:pPr>
      <w:r>
        <w:t>Pieteikuma iesniedzējus, kas izpildījuši Izsoles noteikumos noteiktās prasības, iekļauj Izsoles dalībnieku reģistrācijas žurnālā (turpmāk - Saraksts), norādot šādas ziņas:</w:t>
      </w:r>
    </w:p>
    <w:p w14:paraId="53AC8A3C" w14:textId="77777777" w:rsidR="00D90DB2" w:rsidRDefault="00D90DB2" w:rsidP="00D90DB2">
      <w:pPr>
        <w:pStyle w:val="Sarakstarindkopa"/>
        <w:numPr>
          <w:ilvl w:val="1"/>
          <w:numId w:val="1"/>
        </w:numPr>
        <w:jc w:val="both"/>
      </w:pPr>
      <w:r>
        <w:t>Izsoles dalībnieka kārtas numurs;</w:t>
      </w:r>
    </w:p>
    <w:p w14:paraId="1D400A7F" w14:textId="77777777" w:rsidR="00D90DB2" w:rsidRDefault="00D90DB2" w:rsidP="00D90DB2">
      <w:pPr>
        <w:pStyle w:val="Sarakstarindkopa"/>
        <w:numPr>
          <w:ilvl w:val="1"/>
          <w:numId w:val="1"/>
        </w:numPr>
        <w:jc w:val="both"/>
      </w:pPr>
      <w:r>
        <w:t>Izsoles dalībnieka (pārstāvja) vārds, uzvārds (juridiskai personai - pilns nosaukums, pilnvarotās personas vārds, uzvārds);</w:t>
      </w:r>
    </w:p>
    <w:p w14:paraId="3CDF76CA" w14:textId="77777777" w:rsidR="00D90DB2" w:rsidRDefault="00D90DB2" w:rsidP="00D90DB2">
      <w:pPr>
        <w:pStyle w:val="Sarakstarindkopa"/>
        <w:numPr>
          <w:ilvl w:val="1"/>
          <w:numId w:val="1"/>
        </w:numPr>
        <w:jc w:val="both"/>
      </w:pPr>
      <w:r>
        <w:t xml:space="preserve"> Izsoles dalībnieka deklarētās dzīvesvietas adrese (fiziskai personai) vai juridiskā adrese (juridiskai personai).</w:t>
      </w:r>
    </w:p>
    <w:p w14:paraId="63DCF640" w14:textId="77777777" w:rsidR="00D90DB2" w:rsidRDefault="00D90DB2" w:rsidP="00D90DB2">
      <w:pPr>
        <w:pStyle w:val="Sarakstarindkopa"/>
        <w:numPr>
          <w:ilvl w:val="0"/>
          <w:numId w:val="1"/>
        </w:numPr>
        <w:ind w:left="284" w:hanging="284"/>
        <w:jc w:val="both"/>
      </w:pPr>
      <w:r>
        <w:t xml:space="preserve"> Izsoles komisija līdz Izsoles sākumam nav tiesīga fiziskajām un juridiskajām personām izpaust ziņas par Izsoles dalībniekiem.</w:t>
      </w:r>
    </w:p>
    <w:p w14:paraId="2EDFF168" w14:textId="77777777" w:rsidR="00D90DB2" w:rsidRDefault="00D90DB2" w:rsidP="00D90DB2">
      <w:pPr>
        <w:pStyle w:val="Sarakstarindkopa"/>
        <w:numPr>
          <w:ilvl w:val="0"/>
          <w:numId w:val="1"/>
        </w:numPr>
        <w:ind w:left="284" w:hanging="284"/>
        <w:jc w:val="both"/>
      </w:pPr>
      <w:r>
        <w:t xml:space="preserve"> Atbildīgās amatpersonas, kā arī citas personas, kuras saskaņā ar amata pienākumiem vai atsevišķu uzdevumu piedalās Izsolē (tās organizēšanā, rīkošanā), nedrīkst paši būt pircēji, kā arī nedrīkst pirkt citu uzdevumā.</w:t>
      </w:r>
    </w:p>
    <w:p w14:paraId="603CFBCB" w14:textId="77777777" w:rsidR="00D90DB2" w:rsidRDefault="00D90DB2" w:rsidP="00D90DB2">
      <w:pPr>
        <w:pStyle w:val="Sarakstarindkopa"/>
        <w:numPr>
          <w:ilvl w:val="0"/>
          <w:numId w:val="1"/>
        </w:numPr>
        <w:ind w:left="284" w:hanging="284"/>
        <w:jc w:val="both"/>
      </w:pPr>
      <w:r>
        <w:t>Starp Izsoles dalībniekiem aizliegta vienošanas, kas varētu ietekmēt Izsoles rezultātus un gaitu.</w:t>
      </w:r>
    </w:p>
    <w:p w14:paraId="1E9492DC" w14:textId="77777777" w:rsidR="00D90DB2" w:rsidRPr="000C4CD9" w:rsidRDefault="00D90DB2" w:rsidP="00D0175B">
      <w:pPr>
        <w:pStyle w:val="Virsraksts1"/>
        <w:rPr>
          <w:color w:val="000000" w:themeColor="text1"/>
        </w:rPr>
      </w:pPr>
      <w:r w:rsidRPr="000C4CD9">
        <w:rPr>
          <w:color w:val="000000" w:themeColor="text1"/>
        </w:rPr>
        <w:t>Izsoles norise</w:t>
      </w:r>
    </w:p>
    <w:p w14:paraId="44D2BBEB" w14:textId="77777777" w:rsidR="00D90DB2" w:rsidRDefault="00D0175B" w:rsidP="00D0175B">
      <w:pPr>
        <w:pStyle w:val="Sarakstarindkopa"/>
        <w:numPr>
          <w:ilvl w:val="0"/>
          <w:numId w:val="1"/>
        </w:numPr>
        <w:ind w:left="284" w:hanging="284"/>
        <w:jc w:val="both"/>
      </w:pPr>
      <w:r>
        <w:t xml:space="preserve"> </w:t>
      </w:r>
      <w:r w:rsidR="00D90DB2">
        <w:t>Izsolē var piedalīties personas, kuras reģistrētas Sarakstā.</w:t>
      </w:r>
    </w:p>
    <w:p w14:paraId="637FF079" w14:textId="77777777" w:rsidR="00D90DB2" w:rsidRDefault="00D0175B" w:rsidP="00D0175B">
      <w:pPr>
        <w:pStyle w:val="Sarakstarindkopa"/>
        <w:numPr>
          <w:ilvl w:val="0"/>
          <w:numId w:val="1"/>
        </w:numPr>
        <w:ind w:left="284" w:hanging="284"/>
        <w:jc w:val="both"/>
      </w:pPr>
      <w:r>
        <w:t xml:space="preserve"> </w:t>
      </w:r>
      <w:r w:rsidR="00D90DB2">
        <w:t>Izsole var notikt, ja tajā piedalās vairāk nekā puse no Izsoles komisijas sastāva.</w:t>
      </w:r>
    </w:p>
    <w:p w14:paraId="3E394473" w14:textId="77777777" w:rsidR="00D0175B" w:rsidRDefault="00D0175B" w:rsidP="00D90DB2">
      <w:pPr>
        <w:pStyle w:val="Sarakstarindkopa"/>
        <w:numPr>
          <w:ilvl w:val="0"/>
          <w:numId w:val="1"/>
        </w:numPr>
        <w:ind w:left="284" w:hanging="284"/>
        <w:jc w:val="both"/>
      </w:pPr>
      <w:r>
        <w:t xml:space="preserve"> </w:t>
      </w:r>
      <w:r w:rsidR="00D90DB2">
        <w:t xml:space="preserve">Izsole var notikt, ja </w:t>
      </w:r>
      <w:r>
        <w:t>saņemts vismaz</w:t>
      </w:r>
      <w:r w:rsidR="00D90DB2">
        <w:t xml:space="preserve"> viens Izsoles dalībniek</w:t>
      </w:r>
      <w:r>
        <w:t>a pieteikums.</w:t>
      </w:r>
    </w:p>
    <w:p w14:paraId="47BFA213" w14:textId="08EC4C81" w:rsidR="00216D31" w:rsidRDefault="00D0175B" w:rsidP="00D90DB2">
      <w:pPr>
        <w:pStyle w:val="Sarakstarindkopa"/>
        <w:numPr>
          <w:ilvl w:val="0"/>
          <w:numId w:val="1"/>
        </w:numPr>
        <w:ind w:left="284" w:hanging="284"/>
        <w:jc w:val="both"/>
      </w:pPr>
      <w:r>
        <w:t xml:space="preserve">Izsoli vada Izsoles komisijas priekšsēdētājs vai </w:t>
      </w:r>
      <w:r w:rsidR="00221A85">
        <w:t xml:space="preserve">komisijas </w:t>
      </w:r>
      <w:r w:rsidR="008241EE">
        <w:t xml:space="preserve">priekšsēdētāja nozīmēts </w:t>
      </w:r>
      <w:r>
        <w:t xml:space="preserve"> Izsoles komisijas locek</w:t>
      </w:r>
      <w:r w:rsidR="008241EE">
        <w:t>lis</w:t>
      </w:r>
      <w:r>
        <w:t xml:space="preserve"> (turpmāk - Izsoles vadītājs). Atklājot Izsoli, Izsoles vadītājs iepazīstina Izsoles dalībniekus ar Izsoles komisijas sastāvu</w:t>
      </w:r>
      <w:r w:rsidR="00216D31">
        <w:t>.</w:t>
      </w:r>
    </w:p>
    <w:p w14:paraId="1DB9894C" w14:textId="77777777" w:rsidR="00D0175B" w:rsidRDefault="00D0175B" w:rsidP="00D90DB2">
      <w:pPr>
        <w:pStyle w:val="Sarakstarindkopa"/>
        <w:numPr>
          <w:ilvl w:val="0"/>
          <w:numId w:val="1"/>
        </w:numPr>
        <w:ind w:left="284" w:hanging="284"/>
        <w:jc w:val="both"/>
      </w:pPr>
      <w:r>
        <w:t xml:space="preserve"> </w:t>
      </w:r>
      <w:r w:rsidR="00216D31">
        <w:t>Izsoles gaitu protokolē, atspoguļojot Izsoles komisijas un Izsoles dalībnieku darbības Izsoles gaitā. Protokolu paraksta visi klātesošie Izsoles komisijas locekļi.</w:t>
      </w:r>
    </w:p>
    <w:p w14:paraId="71D4ECA4" w14:textId="2B915420" w:rsidR="00216D31" w:rsidRDefault="00216D31" w:rsidP="00D90DB2">
      <w:pPr>
        <w:pStyle w:val="Sarakstarindkopa"/>
        <w:numPr>
          <w:ilvl w:val="0"/>
          <w:numId w:val="1"/>
        </w:numPr>
        <w:ind w:left="284" w:hanging="284"/>
        <w:jc w:val="both"/>
      </w:pPr>
      <w:r>
        <w:t xml:space="preserve">Izsoles vadītājs īsi raksturo pārdodamo kustamo mantu, paziņo nosacīto (sākotnējo) cenu, kā arī </w:t>
      </w:r>
      <w:r w:rsidR="008241EE">
        <w:t>atver iesniegtos slēgtos konvertus</w:t>
      </w:r>
      <w:r w:rsidR="00080178">
        <w:t xml:space="preserve"> ar </w:t>
      </w:r>
      <w:r>
        <w:t>piedāvāt</w:t>
      </w:r>
      <w:r w:rsidR="00080178">
        <w:t>ajām</w:t>
      </w:r>
      <w:r>
        <w:t xml:space="preserve"> izsoles dalībnieku cen</w:t>
      </w:r>
      <w:r w:rsidR="00080178">
        <w:t>ām</w:t>
      </w:r>
      <w:r>
        <w:t>.</w:t>
      </w:r>
    </w:p>
    <w:p w14:paraId="10874D16" w14:textId="77777777" w:rsidR="00D90DB2" w:rsidRDefault="00D0175B" w:rsidP="00D90DB2">
      <w:pPr>
        <w:pStyle w:val="Sarakstarindkopa"/>
        <w:numPr>
          <w:ilvl w:val="0"/>
          <w:numId w:val="1"/>
        </w:numPr>
        <w:ind w:left="284" w:hanging="284"/>
        <w:jc w:val="both"/>
      </w:pPr>
      <w:r>
        <w:t xml:space="preserve">Izsoles komisija salīdzina iesniegtos piedāvājumus un nosaka izdevīgāko- tas ir tādu, kurā uzrādīta visaugstākā cena. </w:t>
      </w:r>
      <w:r w:rsidR="00D90DB2">
        <w:t xml:space="preserve"> </w:t>
      </w:r>
    </w:p>
    <w:p w14:paraId="31A5020F" w14:textId="015F71BC" w:rsidR="00216D31" w:rsidRDefault="00216D31" w:rsidP="00216D31">
      <w:pPr>
        <w:pStyle w:val="Sarakstarindkopa"/>
        <w:numPr>
          <w:ilvl w:val="0"/>
          <w:numId w:val="1"/>
        </w:numPr>
        <w:ind w:left="284" w:hanging="284"/>
        <w:jc w:val="both"/>
      </w:pPr>
      <w:r>
        <w:t>Pēc Izsoles protokola parakstīšanas</w:t>
      </w:r>
      <w:r w:rsidR="00080178">
        <w:t xml:space="preserve">, vienas darba dienas laikā </w:t>
      </w:r>
      <w:r>
        <w:t xml:space="preserve"> Izsoles uzvarētāj</w:t>
      </w:r>
      <w:r w:rsidR="00080178">
        <w:t>am</w:t>
      </w:r>
      <w:r>
        <w:t xml:space="preserve"> </w:t>
      </w:r>
      <w:proofErr w:type="spellStart"/>
      <w:r w:rsidR="00080178">
        <w:t>nosūta</w:t>
      </w:r>
      <w:proofErr w:type="spellEnd"/>
      <w:r>
        <w:t xml:space="preserve"> rēķinu par Izsolē iegūto kustamo mantu. Rēķinā norāda Izsoles uzvarētājam par nosolīto kustamo mantu piedāvāto summu un tās samaksas kārtību.</w:t>
      </w:r>
    </w:p>
    <w:p w14:paraId="224CD4B7" w14:textId="77777777" w:rsidR="00216D31" w:rsidRDefault="00216D31" w:rsidP="00216D31">
      <w:pPr>
        <w:pStyle w:val="Sarakstarindkopa"/>
        <w:numPr>
          <w:ilvl w:val="0"/>
          <w:numId w:val="1"/>
        </w:numPr>
        <w:ind w:left="284" w:hanging="284"/>
        <w:jc w:val="both"/>
      </w:pPr>
      <w:r>
        <w:t xml:space="preserve"> Izsoles dalībniekam, kas nav nosolījis kustamo mantu, piecu darba dienu laikā no Izsoles dienas atdod nodrošinājuma summu, pārskaitot naudu uz Izsoles dalībnieka pieteikumā norādīto norēķinu kontu.</w:t>
      </w:r>
    </w:p>
    <w:p w14:paraId="78892D18" w14:textId="77777777" w:rsidR="00D90DB2" w:rsidRPr="000C4CD9" w:rsidRDefault="00D90DB2" w:rsidP="00FE2B98">
      <w:pPr>
        <w:pStyle w:val="Virsraksts1"/>
        <w:rPr>
          <w:color w:val="000000" w:themeColor="text1"/>
        </w:rPr>
      </w:pPr>
      <w:r w:rsidRPr="000C4CD9">
        <w:rPr>
          <w:color w:val="000000" w:themeColor="text1"/>
        </w:rPr>
        <w:lastRenderedPageBreak/>
        <w:t>Samaksas kartība</w:t>
      </w:r>
    </w:p>
    <w:p w14:paraId="4193EFE6" w14:textId="77777777" w:rsidR="00D90DB2" w:rsidRDefault="00FE2B98" w:rsidP="00FE2B98">
      <w:pPr>
        <w:pStyle w:val="Sarakstarindkopa"/>
        <w:numPr>
          <w:ilvl w:val="0"/>
          <w:numId w:val="1"/>
        </w:numPr>
        <w:ind w:left="284" w:hanging="284"/>
        <w:jc w:val="both"/>
      </w:pPr>
      <w:r>
        <w:t xml:space="preserve"> </w:t>
      </w:r>
      <w:r w:rsidR="00D90DB2">
        <w:t>Izsoles uzvarētājam par nosolīto kustamo mantu piedāvātā augstākā summa (atrēķinot iemaksāto nodrošinājuma summu, kas tiek ieskaitīta pirkuma summā) jāsamaksā 5 (piecu) darba dienu laikā no Izsoles dienas. Nokavējot noteikto samaksas termiņu, Izsoles uzvarētājs zaudē samaksāto nodrošinājumu.</w:t>
      </w:r>
    </w:p>
    <w:p w14:paraId="63671FE5" w14:textId="56AEC4D9" w:rsidR="00D90DB2" w:rsidRDefault="00FE2B98" w:rsidP="00FE2B98">
      <w:pPr>
        <w:pStyle w:val="Sarakstarindkopa"/>
        <w:numPr>
          <w:ilvl w:val="0"/>
          <w:numId w:val="1"/>
        </w:numPr>
        <w:ind w:left="284" w:hanging="284"/>
        <w:jc w:val="both"/>
      </w:pPr>
      <w:r>
        <w:t xml:space="preserve"> J</w:t>
      </w:r>
      <w:r w:rsidR="00D90DB2">
        <w:t xml:space="preserve">a Izsoles uzvarētājs kustamās mantas izsoles noteikumu noteiktajā termiņā nav samaksājis piedāvāto summu, komisija pieņem lēmumu par to, ka Izsoles uzvarētājs zaudē tiesības uz nosolīto kustamo mantu, un atzīst par Izsoles uzvarētāju dalībnieku, kas nosolījis nākamo augstāko cenu ( turpmāk - pārsolītais dalībnieks). Komisija kustamo mantu piedāvā pirkt pārsolītajam dalībniekam, par viņa nosolīto augstāko cenu (nākamā augstākā cena). Pārsolītajam dalībniekam ir tiesības </w:t>
      </w:r>
      <w:r w:rsidR="00C455A3">
        <w:t>3 (trīs) darba dienu laikā</w:t>
      </w:r>
      <w:r w:rsidR="00D90DB2">
        <w:t xml:space="preserve"> no piedāvājuma saņemšanas dienas paziņot komisijai par kustamās mantas pirkšanu par paša nosolīto augstāko cenu. Ja pārsolītais dalībnieks noteiktajā termiņā atbildi nesniedz, tiek uzskatīts, ka viņš komisijas piedāvājumu ir noraidījis. Ja pārsolītais dalībnieks piekrīt komisijas piedāvājumam, viņam 5</w:t>
      </w:r>
      <w:r w:rsidR="00093E1B">
        <w:t xml:space="preserve"> </w:t>
      </w:r>
      <w:r w:rsidR="00D90DB2">
        <w:t>(piecu) darba dienu termiņā jāsamaksā nosolītā summa. Šajā gadījumā Izsoles uzvarētājam nodrošinājums netiek atmaksāts.</w:t>
      </w:r>
    </w:p>
    <w:p w14:paraId="063F9020" w14:textId="77777777" w:rsidR="00D90DB2" w:rsidRDefault="00FE2B98" w:rsidP="00FE2B98">
      <w:pPr>
        <w:pStyle w:val="Sarakstarindkopa"/>
        <w:numPr>
          <w:ilvl w:val="0"/>
          <w:numId w:val="1"/>
        </w:numPr>
        <w:ind w:left="284" w:hanging="284"/>
        <w:jc w:val="both"/>
      </w:pPr>
      <w:r>
        <w:t xml:space="preserve"> </w:t>
      </w:r>
      <w:r w:rsidR="00D90DB2">
        <w:t>Ja pārsolītais Izsoles dalībnieks noraida Izsoles komisijas piedāvājumu, nokavē noteikto samaksas termiņu vai neparaksta pirkuma līgumu, Izsoles komisija Izsoli atzīst par nenotikušu.</w:t>
      </w:r>
    </w:p>
    <w:p w14:paraId="4F88DFBC" w14:textId="73F811D6" w:rsidR="00D90DB2" w:rsidRPr="000C4CD9" w:rsidRDefault="000C4CD9" w:rsidP="00FE2B98">
      <w:pPr>
        <w:pStyle w:val="Virsraksts1"/>
        <w:rPr>
          <w:color w:val="000000" w:themeColor="text1"/>
        </w:rPr>
      </w:pPr>
      <w:proofErr w:type="spellStart"/>
      <w:r>
        <w:rPr>
          <w:color w:val="000000" w:themeColor="text1"/>
        </w:rPr>
        <w:t>VI.</w:t>
      </w:r>
      <w:r w:rsidR="00D90DB2" w:rsidRPr="000C4CD9">
        <w:rPr>
          <w:color w:val="000000" w:themeColor="text1"/>
        </w:rPr>
        <w:t>Izsoles</w:t>
      </w:r>
      <w:proofErr w:type="spellEnd"/>
      <w:r w:rsidR="00D90DB2" w:rsidRPr="000C4CD9">
        <w:rPr>
          <w:color w:val="000000" w:themeColor="text1"/>
        </w:rPr>
        <w:t xml:space="preserve"> rezultāt</w:t>
      </w:r>
      <w:r w:rsidR="00FE2B98" w:rsidRPr="000C4CD9">
        <w:rPr>
          <w:color w:val="000000" w:themeColor="text1"/>
        </w:rPr>
        <w:t>i</w:t>
      </w:r>
      <w:r w:rsidR="00D90DB2" w:rsidRPr="000C4CD9">
        <w:rPr>
          <w:color w:val="000000" w:themeColor="text1"/>
        </w:rPr>
        <w:t xml:space="preserve"> un norēķinu kārtība</w:t>
      </w:r>
    </w:p>
    <w:p w14:paraId="50FC0D68" w14:textId="77777777" w:rsidR="00FE2B98" w:rsidRDefault="00FE2B98" w:rsidP="00D90DB2">
      <w:pPr>
        <w:pStyle w:val="Sarakstarindkopa"/>
        <w:numPr>
          <w:ilvl w:val="0"/>
          <w:numId w:val="1"/>
        </w:numPr>
        <w:ind w:left="284" w:hanging="284"/>
        <w:jc w:val="both"/>
      </w:pPr>
      <w:r>
        <w:t xml:space="preserve"> Izsole atzīstama par nenotikušu, ja noteiktajā termiņā Izsolei nav reģistrējies neviens dalībnieks.</w:t>
      </w:r>
    </w:p>
    <w:p w14:paraId="709B2E03" w14:textId="3709EE72" w:rsidR="00D90DB2" w:rsidRDefault="00D90DB2" w:rsidP="00D90DB2">
      <w:pPr>
        <w:pStyle w:val="Sarakstarindkopa"/>
        <w:numPr>
          <w:ilvl w:val="0"/>
          <w:numId w:val="1"/>
        </w:numPr>
        <w:ind w:left="284" w:hanging="284"/>
        <w:jc w:val="both"/>
      </w:pPr>
      <w:r>
        <w:t xml:space="preserve"> Izsoles uzvarētājam Izsolē iegādātā kustamā manta jāpārņem piecu </w:t>
      </w:r>
      <w:r w:rsidR="000310C9">
        <w:t>darba</w:t>
      </w:r>
      <w:r>
        <w:t xml:space="preserve"> dienu laikā pēc </w:t>
      </w:r>
      <w:r w:rsidR="000310C9">
        <w:t>izsoles, parakstot pieņemšanas -nodošanas aktu</w:t>
      </w:r>
    </w:p>
    <w:p w14:paraId="0C412420" w14:textId="77777777" w:rsidR="00D90DB2" w:rsidRDefault="00D90DB2" w:rsidP="00D90DB2">
      <w:r>
        <w:t>Visus izdevumus, kas saistīti ar kustamās mantas transportēšanu, obligātos maksājumus un normatīvajos aktos noteiktos nodokļus sedz Pircējs.</w:t>
      </w:r>
    </w:p>
    <w:p w14:paraId="3A139CFE" w14:textId="77777777" w:rsidR="00D90DB2" w:rsidRDefault="00D90DB2" w:rsidP="00D90DB2">
      <w:r>
        <w:t>Sūdzības un tajās norādīto apstākļu pierādījumus par Izsoles rīkotāja pieņemtajiem lēmumiem un veiktajām darbībām vai atklātajiem Izsoles noteikumu pārkāpumiem, Izsoles norisi vai tās rezultātiem var iesniegt Uzņēmumā, bet ne vēlāk kā 1 (viena) mēneša laikā pēc Izsoles rezultātu apstiprināšanas.</w:t>
      </w:r>
    </w:p>
    <w:p w14:paraId="1D7A8D0C" w14:textId="027CFB91" w:rsidR="00D90DB2" w:rsidRDefault="00D90DB2" w:rsidP="00D90DB2">
      <w:r>
        <w:t xml:space="preserve"> </w:t>
      </w:r>
    </w:p>
    <w:p w14:paraId="0FCB90DE" w14:textId="0F81480E" w:rsidR="00E90241" w:rsidRDefault="00E90241" w:rsidP="00D90DB2"/>
    <w:p w14:paraId="6DB5FC6D" w14:textId="79A1DC67" w:rsidR="00E90241" w:rsidRDefault="00E90241" w:rsidP="00D90DB2"/>
    <w:p w14:paraId="51915088" w14:textId="4ECB47A6" w:rsidR="00E90241" w:rsidRDefault="00E90241">
      <w:r>
        <w:br w:type="page"/>
      </w:r>
    </w:p>
    <w:p w14:paraId="678887C4" w14:textId="77777777" w:rsidR="00E90241" w:rsidRDefault="00E90241" w:rsidP="00D90DB2"/>
    <w:p w14:paraId="0181D7DC" w14:textId="77777777" w:rsidR="00D90DB2" w:rsidRDefault="00D90DB2" w:rsidP="00E90241">
      <w:pPr>
        <w:jc w:val="right"/>
      </w:pPr>
      <w:r>
        <w:t>Pielikums Nr.1</w:t>
      </w:r>
    </w:p>
    <w:p w14:paraId="481F447D" w14:textId="77777777" w:rsidR="00E90241" w:rsidRDefault="00E90241" w:rsidP="00E90241">
      <w:pPr>
        <w:jc w:val="center"/>
      </w:pPr>
    </w:p>
    <w:p w14:paraId="35ADE9A2" w14:textId="0B0BFB67" w:rsidR="00D90DB2" w:rsidRDefault="00736E66" w:rsidP="00E90241">
      <w:pPr>
        <w:jc w:val="center"/>
      </w:pPr>
      <w:r>
        <w:t>KUSTAMĀS MANTAS</w:t>
      </w:r>
      <w:r w:rsidR="00D90DB2">
        <w:t xml:space="preserve"> SARAKSTS IZSOLEI </w:t>
      </w:r>
      <w:r w:rsidR="000C4CD9">
        <w:t>Nr.1/202</w:t>
      </w:r>
      <w:r>
        <w:t>4</w:t>
      </w:r>
      <w:r w:rsidR="000C4CD9">
        <w:t xml:space="preserve"> </w:t>
      </w:r>
      <w:r w:rsidR="00D90DB2">
        <w:t xml:space="preserve">AR NORĀDĪTO </w:t>
      </w:r>
      <w:r w:rsidR="00E90241">
        <w:t xml:space="preserve">NOSACĪTO </w:t>
      </w:r>
      <w:r w:rsidR="00D90DB2">
        <w:t>VĒRTĪBU</w:t>
      </w:r>
    </w:p>
    <w:p w14:paraId="6BE8C756" w14:textId="3BE5576B" w:rsidR="00D90DB2" w:rsidRDefault="00D90DB2" w:rsidP="00D90DB2"/>
    <w:tbl>
      <w:tblPr>
        <w:tblStyle w:val="Reatabula"/>
        <w:tblW w:w="0" w:type="auto"/>
        <w:jc w:val="center"/>
        <w:tblLook w:val="04A0" w:firstRow="1" w:lastRow="0" w:firstColumn="1" w:lastColumn="0" w:noHBand="0" w:noVBand="1"/>
      </w:tblPr>
      <w:tblGrid>
        <w:gridCol w:w="2552"/>
        <w:gridCol w:w="1480"/>
        <w:gridCol w:w="2391"/>
        <w:gridCol w:w="1660"/>
      </w:tblGrid>
      <w:tr w:rsidR="00E90241" w14:paraId="3D725715" w14:textId="77777777" w:rsidTr="00E90241">
        <w:trPr>
          <w:jc w:val="center"/>
        </w:trPr>
        <w:tc>
          <w:tcPr>
            <w:tcW w:w="2552" w:type="dxa"/>
          </w:tcPr>
          <w:p w14:paraId="678DA012" w14:textId="06896133" w:rsidR="00E90241" w:rsidRDefault="00736E66" w:rsidP="00D90DB2">
            <w:r>
              <w:t>Mantas</w:t>
            </w:r>
            <w:r w:rsidR="00E90241">
              <w:t xml:space="preserve"> nosaukums</w:t>
            </w:r>
          </w:p>
        </w:tc>
        <w:tc>
          <w:tcPr>
            <w:tcW w:w="1480" w:type="dxa"/>
          </w:tcPr>
          <w:p w14:paraId="3F42D1EB" w14:textId="09E1EEC8" w:rsidR="00E90241" w:rsidRDefault="00812D26" w:rsidP="00D90DB2">
            <w:r>
              <w:t>Izlaiduma</w:t>
            </w:r>
            <w:r w:rsidR="00736E66">
              <w:t xml:space="preserve"> gads</w:t>
            </w:r>
            <w:r w:rsidR="00DD1B4B">
              <w:t xml:space="preserve">  </w:t>
            </w:r>
          </w:p>
        </w:tc>
        <w:tc>
          <w:tcPr>
            <w:tcW w:w="1659" w:type="dxa"/>
          </w:tcPr>
          <w:p w14:paraId="017BF61F" w14:textId="1B33D0C3" w:rsidR="00E90241" w:rsidRDefault="004179C6" w:rsidP="00D90DB2">
            <w:r>
              <w:t xml:space="preserve">VIN </w:t>
            </w:r>
          </w:p>
        </w:tc>
        <w:tc>
          <w:tcPr>
            <w:tcW w:w="1660" w:type="dxa"/>
          </w:tcPr>
          <w:p w14:paraId="0B9DBD42" w14:textId="589D4E91" w:rsidR="00E90241" w:rsidRDefault="00A145BB" w:rsidP="00D90DB2">
            <w:r>
              <w:t>N</w:t>
            </w:r>
            <w:r w:rsidR="00E90241">
              <w:t>osacītā vērtība  EUR</w:t>
            </w:r>
          </w:p>
        </w:tc>
      </w:tr>
      <w:tr w:rsidR="00E90241" w14:paraId="0518F4AE" w14:textId="77777777" w:rsidTr="00E90241">
        <w:trPr>
          <w:jc w:val="center"/>
        </w:trPr>
        <w:tc>
          <w:tcPr>
            <w:tcW w:w="2552" w:type="dxa"/>
          </w:tcPr>
          <w:p w14:paraId="6174F30B" w14:textId="597545B3" w:rsidR="00E90241" w:rsidRDefault="00D166D0" w:rsidP="00D90DB2">
            <w:r>
              <w:t xml:space="preserve">Automašīna </w:t>
            </w:r>
            <w:proofErr w:type="spellStart"/>
            <w:r>
              <w:t>Opel</w:t>
            </w:r>
            <w:proofErr w:type="spellEnd"/>
            <w:r>
              <w:t xml:space="preserve"> </w:t>
            </w:r>
            <w:proofErr w:type="spellStart"/>
            <w:r>
              <w:t>Zafira</w:t>
            </w:r>
            <w:proofErr w:type="spellEnd"/>
            <w:r>
              <w:t xml:space="preserve"> </w:t>
            </w:r>
          </w:p>
        </w:tc>
        <w:tc>
          <w:tcPr>
            <w:tcW w:w="1480" w:type="dxa"/>
          </w:tcPr>
          <w:p w14:paraId="5E9CC962" w14:textId="4001CC07" w:rsidR="00E90241" w:rsidRDefault="00DD1B4B" w:rsidP="00D90DB2">
            <w:r>
              <w:t xml:space="preserve">   200</w:t>
            </w:r>
            <w:r w:rsidR="00812D26">
              <w:t>6</w:t>
            </w:r>
          </w:p>
        </w:tc>
        <w:tc>
          <w:tcPr>
            <w:tcW w:w="1659" w:type="dxa"/>
          </w:tcPr>
          <w:p w14:paraId="3FE68D04" w14:textId="0B6EF54C" w:rsidR="00E90241" w:rsidRDefault="00A145BB" w:rsidP="00D90DB2">
            <w:r>
              <w:t>WOLOAHM756G048430</w:t>
            </w:r>
          </w:p>
        </w:tc>
        <w:tc>
          <w:tcPr>
            <w:tcW w:w="1660" w:type="dxa"/>
          </w:tcPr>
          <w:p w14:paraId="0ABCB92F" w14:textId="46B17941" w:rsidR="00E90241" w:rsidRDefault="00DD1B4B" w:rsidP="00DD1B4B">
            <w:pPr>
              <w:jc w:val="center"/>
            </w:pPr>
            <w:r>
              <w:t>1</w:t>
            </w:r>
            <w:r w:rsidR="00DD33AD">
              <w:t>4</w:t>
            </w:r>
            <w:r>
              <w:t>00.00</w:t>
            </w:r>
          </w:p>
        </w:tc>
      </w:tr>
    </w:tbl>
    <w:p w14:paraId="57F238E1" w14:textId="6827D643" w:rsidR="00E90241" w:rsidRDefault="00E90241" w:rsidP="00D90DB2"/>
    <w:p w14:paraId="5B53A433" w14:textId="253972EF" w:rsidR="00E90241" w:rsidRDefault="00E90241" w:rsidP="00D90DB2"/>
    <w:p w14:paraId="27FAF259" w14:textId="61300AA9" w:rsidR="00E90241" w:rsidRDefault="00E90241" w:rsidP="00D90DB2"/>
    <w:p w14:paraId="23140C33" w14:textId="5324D63F" w:rsidR="00E90241" w:rsidRDefault="00E90241" w:rsidP="00D90DB2"/>
    <w:p w14:paraId="6E93B448" w14:textId="693EA9B7" w:rsidR="00E90241" w:rsidRDefault="00E90241"/>
    <w:sectPr w:rsidR="00E902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5FBD"/>
    <w:multiLevelType w:val="multilevel"/>
    <w:tmpl w:val="2FC051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48F607F"/>
    <w:multiLevelType w:val="hybridMultilevel"/>
    <w:tmpl w:val="7CD80AA2"/>
    <w:lvl w:ilvl="0" w:tplc="F9329AA0">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E45502"/>
    <w:multiLevelType w:val="multilevel"/>
    <w:tmpl w:val="6CD470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220633438">
    <w:abstractNumId w:val="2"/>
  </w:num>
  <w:num w:numId="2" w16cid:durableId="1797094394">
    <w:abstractNumId w:val="0"/>
  </w:num>
  <w:num w:numId="3" w16cid:durableId="97991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B2"/>
    <w:rsid w:val="000310C9"/>
    <w:rsid w:val="00080178"/>
    <w:rsid w:val="00093E1B"/>
    <w:rsid w:val="000C4CD9"/>
    <w:rsid w:val="0019344A"/>
    <w:rsid w:val="0019560D"/>
    <w:rsid w:val="001F6553"/>
    <w:rsid w:val="00216D31"/>
    <w:rsid w:val="00221A85"/>
    <w:rsid w:val="003E6A45"/>
    <w:rsid w:val="004179C6"/>
    <w:rsid w:val="004332E9"/>
    <w:rsid w:val="00455CA1"/>
    <w:rsid w:val="00492FDC"/>
    <w:rsid w:val="0049619B"/>
    <w:rsid w:val="00680DC6"/>
    <w:rsid w:val="006A0359"/>
    <w:rsid w:val="006A25D0"/>
    <w:rsid w:val="006B3D88"/>
    <w:rsid w:val="00736E66"/>
    <w:rsid w:val="00812D26"/>
    <w:rsid w:val="008241EE"/>
    <w:rsid w:val="00836264"/>
    <w:rsid w:val="0085785E"/>
    <w:rsid w:val="008B7D0E"/>
    <w:rsid w:val="008F4845"/>
    <w:rsid w:val="009614B7"/>
    <w:rsid w:val="00A145BB"/>
    <w:rsid w:val="00B17B98"/>
    <w:rsid w:val="00B4168B"/>
    <w:rsid w:val="00BE03E3"/>
    <w:rsid w:val="00C31A9B"/>
    <w:rsid w:val="00C455A3"/>
    <w:rsid w:val="00C64218"/>
    <w:rsid w:val="00CE3677"/>
    <w:rsid w:val="00D0175B"/>
    <w:rsid w:val="00D166D0"/>
    <w:rsid w:val="00D50ED8"/>
    <w:rsid w:val="00D90DB2"/>
    <w:rsid w:val="00DD1B4B"/>
    <w:rsid w:val="00DD33AD"/>
    <w:rsid w:val="00E80D75"/>
    <w:rsid w:val="00E90241"/>
    <w:rsid w:val="00FE2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3705"/>
  <w15:chartTrackingRefBased/>
  <w15:docId w15:val="{755A81A6-944D-4812-BA57-2C987FD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90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90DB2"/>
    <w:rPr>
      <w:rFonts w:asciiTheme="majorHAnsi" w:eastAsiaTheme="majorEastAsia" w:hAnsiTheme="majorHAnsi" w:cstheme="majorBidi"/>
      <w:color w:val="2E74B5" w:themeColor="accent1" w:themeShade="BF"/>
      <w:sz w:val="32"/>
      <w:szCs w:val="32"/>
    </w:rPr>
  </w:style>
  <w:style w:type="paragraph" w:styleId="Sarakstarindkopa">
    <w:name w:val="List Paragraph"/>
    <w:basedOn w:val="Parasts"/>
    <w:uiPriority w:val="34"/>
    <w:qFormat/>
    <w:rsid w:val="00D90DB2"/>
    <w:pPr>
      <w:ind w:left="720"/>
      <w:contextualSpacing/>
    </w:pPr>
  </w:style>
  <w:style w:type="character" w:customStyle="1" w:styleId="Bodytext2">
    <w:name w:val="Body text (2)_"/>
    <w:basedOn w:val="Noklusjumarindkopasfonts"/>
    <w:rsid w:val="00D90DB2"/>
    <w:rPr>
      <w:rFonts w:ascii="Times New Roman" w:eastAsia="Times New Roman" w:hAnsi="Times New Roman" w:cs="Times New Roman"/>
      <w:b w:val="0"/>
      <w:bCs w:val="0"/>
      <w:i w:val="0"/>
      <w:iCs w:val="0"/>
      <w:smallCaps w:val="0"/>
      <w:strike w:val="0"/>
      <w:sz w:val="20"/>
      <w:szCs w:val="20"/>
      <w:u w:val="none"/>
    </w:rPr>
  </w:style>
  <w:style w:type="character" w:customStyle="1" w:styleId="Bodytext2105ptBold">
    <w:name w:val="Body text (2) + 10;5 pt;Bold"/>
    <w:basedOn w:val="Bodytext2"/>
    <w:rsid w:val="00D90DB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D90D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styleId="Hipersaite">
    <w:name w:val="Hyperlink"/>
    <w:basedOn w:val="Noklusjumarindkopasfonts"/>
    <w:uiPriority w:val="99"/>
    <w:unhideWhenUsed/>
    <w:rsid w:val="00D90DB2"/>
    <w:rPr>
      <w:color w:val="0563C1" w:themeColor="hyperlink"/>
      <w:u w:val="single"/>
    </w:rPr>
  </w:style>
  <w:style w:type="table" w:styleId="Reatabula">
    <w:name w:val="Table Grid"/>
    <w:basedOn w:val="Parastatabula"/>
    <w:uiPriority w:val="39"/>
    <w:rsid w:val="00E9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E90241"/>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80D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0DC6"/>
    <w:rPr>
      <w:rFonts w:ascii="Segoe UI" w:hAnsi="Segoe UI" w:cs="Segoe UI"/>
      <w:sz w:val="18"/>
      <w:szCs w:val="18"/>
    </w:rPr>
  </w:style>
  <w:style w:type="character" w:styleId="Neatrisintapieminana">
    <w:name w:val="Unresolved Mention"/>
    <w:basedOn w:val="Noklusjumarindkopasfonts"/>
    <w:uiPriority w:val="99"/>
    <w:semiHidden/>
    <w:unhideWhenUsed/>
    <w:rsid w:val="00CE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21E71ED204E47B7515433F427FDFA" ma:contentTypeVersion="5" ma:contentTypeDescription="Create a new document." ma:contentTypeScope="" ma:versionID="85e88d8c6081506edbad9ec09bfdcef9">
  <xsd:schema xmlns:xsd="http://www.w3.org/2001/XMLSchema" xmlns:xs="http://www.w3.org/2001/XMLSchema" xmlns:p="http://schemas.microsoft.com/office/2006/metadata/properties" xmlns:ns3="9ffa2098-49ba-4b58-9612-d07666ffe272" xmlns:ns4="ab8ab6fe-154e-4dd8-92a7-bcab90960e31" targetNamespace="http://schemas.microsoft.com/office/2006/metadata/properties" ma:root="true" ma:fieldsID="0622075dd7cafdf3e5e68f6fed1780b4" ns3:_="" ns4:_="">
    <xsd:import namespace="9ffa2098-49ba-4b58-9612-d07666ffe272"/>
    <xsd:import namespace="ab8ab6fe-154e-4dd8-92a7-bcab90960e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a2098-49ba-4b58-9612-d07666ff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ab6fe-154e-4dd8-92a7-bcab90960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F3486-43FF-46E6-9B18-141489383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8E2F1-1EF0-47A8-AE92-A530D0E3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a2098-49ba-4b58-9612-d07666ffe272"/>
    <ds:schemaRef ds:uri="ab8ab6fe-154e-4dd8-92a7-bcab9096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266BA-7237-497E-A2E7-39993024B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5190</Words>
  <Characters>2959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dc:description/>
  <cp:lastModifiedBy>VSIA  "Slimnīca "Ģintermuiža""</cp:lastModifiedBy>
  <cp:revision>3</cp:revision>
  <cp:lastPrinted>2024-01-08T09:10:00Z</cp:lastPrinted>
  <dcterms:created xsi:type="dcterms:W3CDTF">2024-01-08T09:10:00Z</dcterms:created>
  <dcterms:modified xsi:type="dcterms:W3CDTF">2024-01-09T07:18:00Z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0x01010074021E71ED204E47B7515433F427FDFA</vt:lpwstr>
  </property>
</Properties>
</file>