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89466" w14:textId="77777777" w:rsidR="008D79D0" w:rsidRPr="003D07A2" w:rsidRDefault="008D79D0" w:rsidP="00C06C05">
      <w:pPr>
        <w:spacing w:after="0"/>
        <w:ind w:left="284"/>
        <w:jc w:val="center"/>
        <w:rPr>
          <w:rFonts w:cstheme="minorHAnsi"/>
        </w:rPr>
      </w:pPr>
      <w:r w:rsidRPr="003D07A2">
        <w:rPr>
          <w:rFonts w:cstheme="minorHAnsi"/>
        </w:rPr>
        <w:t>VSIA “Slimnīca “Ģintermuiža””</w:t>
      </w:r>
    </w:p>
    <w:p w14:paraId="6CD208D5" w14:textId="77777777" w:rsidR="008D79D0" w:rsidRPr="003D07A2" w:rsidRDefault="008D79D0" w:rsidP="008D79D0">
      <w:pPr>
        <w:spacing w:after="0"/>
        <w:jc w:val="center"/>
        <w:rPr>
          <w:rFonts w:cstheme="minorHAnsi"/>
          <w:b/>
          <w:bCs/>
        </w:rPr>
      </w:pPr>
    </w:p>
    <w:p w14:paraId="50A9D647" w14:textId="509B666A" w:rsidR="008D79D0" w:rsidRPr="003D07A2" w:rsidRDefault="008D79D0" w:rsidP="008D79D0">
      <w:pPr>
        <w:spacing w:after="0"/>
        <w:jc w:val="center"/>
        <w:rPr>
          <w:rFonts w:cstheme="minorHAnsi"/>
          <w:b/>
          <w:bCs/>
        </w:rPr>
      </w:pPr>
      <w:r w:rsidRPr="003D07A2">
        <w:rPr>
          <w:rFonts w:cstheme="minorHAnsi"/>
          <w:b/>
          <w:bCs/>
        </w:rPr>
        <w:t>STARPPERIODU</w:t>
      </w:r>
      <w:r w:rsidR="00C06C05" w:rsidRPr="003D07A2">
        <w:rPr>
          <w:rFonts w:cstheme="minorHAnsi"/>
          <w:b/>
          <w:bCs/>
        </w:rPr>
        <w:t xml:space="preserve"> </w:t>
      </w:r>
      <w:r w:rsidRPr="003D07A2">
        <w:rPr>
          <w:rFonts w:cstheme="minorHAnsi"/>
          <w:b/>
          <w:bCs/>
        </w:rPr>
        <w:t>VADĪBAS</w:t>
      </w:r>
      <w:r w:rsidR="00C06C05" w:rsidRPr="003D07A2">
        <w:rPr>
          <w:rFonts w:cstheme="minorHAnsi"/>
          <w:b/>
          <w:bCs/>
        </w:rPr>
        <w:t xml:space="preserve"> </w:t>
      </w:r>
      <w:r w:rsidRPr="003D07A2">
        <w:rPr>
          <w:rFonts w:cstheme="minorHAnsi"/>
          <w:b/>
          <w:bCs/>
        </w:rPr>
        <w:t>ZIŅOJUMS</w:t>
      </w:r>
    </w:p>
    <w:p w14:paraId="1E8E4839" w14:textId="403C0577" w:rsidR="0018783C" w:rsidRDefault="008D79D0" w:rsidP="008D79D0">
      <w:pPr>
        <w:spacing w:after="0"/>
        <w:jc w:val="center"/>
        <w:rPr>
          <w:rFonts w:cstheme="minorHAnsi"/>
        </w:rPr>
      </w:pPr>
      <w:r w:rsidRPr="003D07A2">
        <w:rPr>
          <w:rFonts w:cstheme="minorHAnsi"/>
        </w:rPr>
        <w:t>par 202</w:t>
      </w:r>
      <w:r w:rsidR="00B10F7D">
        <w:rPr>
          <w:rFonts w:cstheme="minorHAnsi"/>
        </w:rPr>
        <w:t>1</w:t>
      </w:r>
      <w:r w:rsidRPr="003D07A2">
        <w:rPr>
          <w:rFonts w:cstheme="minorHAnsi"/>
        </w:rPr>
        <w:t xml:space="preserve">. </w:t>
      </w:r>
      <w:r w:rsidR="0073779C" w:rsidRPr="003D07A2">
        <w:rPr>
          <w:rFonts w:cstheme="minorHAnsi"/>
        </w:rPr>
        <w:t>gad</w:t>
      </w:r>
      <w:r w:rsidR="00B10F7D">
        <w:rPr>
          <w:rFonts w:cstheme="minorHAnsi"/>
        </w:rPr>
        <w:t>a 3 mēnešiem (01.01.-31.03.)</w:t>
      </w:r>
    </w:p>
    <w:p w14:paraId="5B9B76B3" w14:textId="77777777" w:rsidR="00867F38" w:rsidRPr="003D07A2" w:rsidRDefault="006D677B" w:rsidP="00C06C05">
      <w:pPr>
        <w:spacing w:before="100" w:beforeAutospacing="1" w:after="100" w:afterAutospacing="1"/>
        <w:jc w:val="both"/>
        <w:rPr>
          <w:rFonts w:cstheme="minorHAnsi"/>
        </w:rPr>
      </w:pPr>
      <w:r w:rsidRPr="003D07A2">
        <w:rPr>
          <w:rFonts w:cstheme="minorHAnsi"/>
        </w:rPr>
        <w:t>VSIA “Slimnīca “Ģintermuiža”” (tu</w:t>
      </w:r>
      <w:r w:rsidR="00F7045F" w:rsidRPr="003D07A2">
        <w:rPr>
          <w:rFonts w:cstheme="minorHAnsi"/>
        </w:rPr>
        <w:t>r</w:t>
      </w:r>
      <w:r w:rsidRPr="003D07A2">
        <w:rPr>
          <w:rFonts w:cstheme="minorHAnsi"/>
        </w:rPr>
        <w:t>pmāk – Slimnīca vai Sabiedrība) ir Latvijas Republikas Veselības ministrijas pārraudzībā esoša valsts kapitālsabiedrība.</w:t>
      </w:r>
    </w:p>
    <w:p w14:paraId="762597D3" w14:textId="77777777" w:rsidR="006D677B" w:rsidRPr="003D07A2" w:rsidRDefault="00135C75" w:rsidP="00C06C05">
      <w:pPr>
        <w:spacing w:before="100" w:beforeAutospacing="1" w:after="100" w:afterAutospacing="1"/>
        <w:jc w:val="both"/>
        <w:rPr>
          <w:rFonts w:cstheme="minorHAnsi"/>
        </w:rPr>
      </w:pPr>
      <w:r w:rsidRPr="003D07A2">
        <w:rPr>
          <w:rFonts w:cstheme="minorHAnsi"/>
        </w:rPr>
        <w:t>Saskaņā ar Latvijas Republikas Ministru kabineta 2004.gada 13.aprīļa noteikumu Nr.286 “</w:t>
      </w:r>
      <w:r w:rsidR="00F97D96" w:rsidRPr="003D07A2">
        <w:rPr>
          <w:rFonts w:cstheme="minorHAnsi"/>
        </w:rPr>
        <w:t>V</w:t>
      </w:r>
      <w:r w:rsidRPr="003D07A2">
        <w:rPr>
          <w:rFonts w:cstheme="minorHAnsi"/>
        </w:rPr>
        <w:t>eselības ministrijas nolikums”</w:t>
      </w:r>
      <w:r w:rsidR="00F97D96" w:rsidRPr="003D07A2">
        <w:rPr>
          <w:rFonts w:cstheme="minorHAnsi"/>
        </w:rPr>
        <w:t xml:space="preserve"> </w:t>
      </w:r>
      <w:r w:rsidRPr="003D07A2">
        <w:rPr>
          <w:rFonts w:cstheme="minorHAnsi"/>
        </w:rPr>
        <w:t>25.</w:t>
      </w:r>
      <w:r w:rsidR="00F97D96" w:rsidRPr="003D07A2">
        <w:rPr>
          <w:rFonts w:cstheme="minorHAnsi"/>
        </w:rPr>
        <w:t>7</w:t>
      </w:r>
      <w:r w:rsidRPr="003D07A2">
        <w:rPr>
          <w:rFonts w:cstheme="minorHAnsi"/>
        </w:rPr>
        <w:t>.punktu Veselības ministrija ir Sabiedrības valsts kapitāla daļu turētājs. Atbilstoši Publiskas personas kapitāla daļu un kapitālsabiedrību pārvaldības likuma 12.panta noteikumiem</w:t>
      </w:r>
      <w:r w:rsidR="00F97D96" w:rsidRPr="003D07A2">
        <w:rPr>
          <w:rFonts w:cstheme="minorHAnsi"/>
        </w:rPr>
        <w:t xml:space="preserve"> paredzētos kapitāla daļu turētāja pārstāvis ir Veselības ministrijas valsts sekretāre Daina Mūrmane-Umbraško.</w:t>
      </w:r>
    </w:p>
    <w:p w14:paraId="1B3E81F3" w14:textId="33B3154A" w:rsidR="0035297D" w:rsidRPr="003D07A2" w:rsidRDefault="00E42217" w:rsidP="00C06C05">
      <w:pPr>
        <w:spacing w:before="100" w:beforeAutospacing="1" w:after="100" w:afterAutospacing="1"/>
        <w:jc w:val="both"/>
        <w:rPr>
          <w:rFonts w:cstheme="minorHAnsi"/>
        </w:rPr>
      </w:pPr>
      <w:r w:rsidRPr="003D07A2">
        <w:rPr>
          <w:rFonts w:cstheme="minorHAnsi"/>
        </w:rPr>
        <w:t xml:space="preserve">Saskaņā ar Sabiedrības Statūtiem </w:t>
      </w:r>
      <w:r w:rsidR="0035297D" w:rsidRPr="003D07A2">
        <w:rPr>
          <w:rFonts w:cstheme="minorHAnsi"/>
        </w:rPr>
        <w:t xml:space="preserve">Sabiedrības </w:t>
      </w:r>
      <w:r w:rsidRPr="003D07A2">
        <w:rPr>
          <w:rFonts w:cstheme="minorHAnsi"/>
        </w:rPr>
        <w:t>galvenie darbības veidi ir</w:t>
      </w:r>
      <w:r w:rsidR="00C06C05" w:rsidRPr="003D07A2">
        <w:rPr>
          <w:rFonts w:cstheme="minorHAnsi"/>
        </w:rPr>
        <w:t xml:space="preserve"> </w:t>
      </w:r>
      <w:r w:rsidR="0035297D" w:rsidRPr="003D07A2">
        <w:rPr>
          <w:rFonts w:cstheme="minorHAnsi"/>
        </w:rPr>
        <w:t>slimnīcu darbība (NACE klasifikācijas kods 86.10);</w:t>
      </w:r>
      <w:r w:rsidR="00C06C05" w:rsidRPr="003D07A2">
        <w:rPr>
          <w:rFonts w:cstheme="minorHAnsi"/>
        </w:rPr>
        <w:t xml:space="preserve"> </w:t>
      </w:r>
      <w:r w:rsidR="0035297D" w:rsidRPr="003D07A2">
        <w:rPr>
          <w:rFonts w:cstheme="minorHAnsi"/>
        </w:rPr>
        <w:t>Izglītība (85); Veselības aizsardzība (86); Ārstu un zobārstu prakse (86.2); Pētījumu un eksperimentālo izstrāžu veikšana dabas zinātnēs un inženierzinātnēs (72.10); Sociālā aprūpe ar izmitināšanu (87), Sociālā aprūpe bez izmitināšanas (88) u.c.</w:t>
      </w:r>
    </w:p>
    <w:p w14:paraId="480C0A57" w14:textId="77777777" w:rsidR="00E42217" w:rsidRPr="003D07A2" w:rsidRDefault="00E42217" w:rsidP="00C06C05">
      <w:pPr>
        <w:spacing w:before="100" w:beforeAutospacing="1" w:after="100" w:afterAutospacing="1"/>
        <w:jc w:val="both"/>
        <w:rPr>
          <w:rFonts w:cstheme="minorHAnsi"/>
        </w:rPr>
      </w:pPr>
      <w:r w:rsidRPr="003D07A2">
        <w:rPr>
          <w:rFonts w:cstheme="minorHAnsi"/>
        </w:rPr>
        <w:t>Sabiedrības pārskata perioda valdes loceklis ir Artūrs Bērziņš.</w:t>
      </w:r>
    </w:p>
    <w:p w14:paraId="3391F4AB" w14:textId="77777777" w:rsidR="008D79D0" w:rsidRPr="003D07A2" w:rsidRDefault="008D79D0" w:rsidP="008D79D0">
      <w:pPr>
        <w:spacing w:after="0"/>
        <w:rPr>
          <w:rFonts w:cstheme="minorHAnsi"/>
          <w:b/>
          <w:bCs/>
        </w:rPr>
      </w:pPr>
      <w:r w:rsidRPr="003D07A2">
        <w:rPr>
          <w:rFonts w:cstheme="minorHAnsi"/>
          <w:b/>
          <w:bCs/>
        </w:rPr>
        <w:t>Pārskata perioda Sabiedrības darbības apraksts</w:t>
      </w:r>
    </w:p>
    <w:p w14:paraId="1FDD3239" w14:textId="77777777" w:rsidR="00AF0274" w:rsidRPr="003D07A2" w:rsidRDefault="00AF0274" w:rsidP="00B607CC">
      <w:pPr>
        <w:spacing w:before="100" w:beforeAutospacing="1" w:after="100" w:afterAutospacing="1"/>
        <w:jc w:val="both"/>
        <w:rPr>
          <w:rFonts w:cstheme="minorHAnsi"/>
        </w:rPr>
      </w:pPr>
      <w:r w:rsidRPr="003D07A2">
        <w:rPr>
          <w:rFonts w:cstheme="minorHAnsi"/>
        </w:rPr>
        <w:t>Pārskata periodā sabiedrība sniedz sekojošus pakalpojumus:</w:t>
      </w:r>
    </w:p>
    <w:p w14:paraId="03DC80C3"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Stacionārie veselības aprūpes pakalpojumi:</w:t>
      </w:r>
    </w:p>
    <w:p w14:paraId="3D447A54"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Psihiatriskā palīdzība pieaugušajiem un bērniem</w:t>
      </w:r>
    </w:p>
    <w:p w14:paraId="0715B8EB"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Narkoloģija</w:t>
      </w:r>
    </w:p>
    <w:p w14:paraId="6763BF06"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Obligātā narkoloģiskā palīdzība bērniem pēc bāriņtiesas lēmuma</w:t>
      </w:r>
    </w:p>
    <w:p w14:paraId="78A43719"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Narkomānu rehabilitācija stacionārā pieaugušajiem un bērniem</w:t>
      </w:r>
    </w:p>
    <w:p w14:paraId="4EE2A5D4" w14:textId="78447BC4" w:rsidR="009C2945"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Minesotas programma stacionārā</w:t>
      </w:r>
    </w:p>
    <w:p w14:paraId="764CFDC5" w14:textId="3C8154C6" w:rsidR="00091868" w:rsidRPr="003D07A2" w:rsidRDefault="00091868" w:rsidP="00B607CC">
      <w:pPr>
        <w:pStyle w:val="apakvsirsraksts2"/>
        <w:keepLines/>
        <w:numPr>
          <w:ilvl w:val="1"/>
          <w:numId w:val="1"/>
        </w:numPr>
        <w:spacing w:after="0"/>
        <w:jc w:val="both"/>
        <w:rPr>
          <w:rFonts w:cstheme="minorHAnsi"/>
          <w:b w:val="0"/>
          <w:u w:val="none"/>
        </w:rPr>
      </w:pPr>
      <w:r>
        <w:rPr>
          <w:rFonts w:cstheme="minorHAnsi"/>
          <w:b w:val="0"/>
          <w:u w:val="none"/>
        </w:rPr>
        <w:t>COVID-19 pozitīvu pacientu ārstēšana</w:t>
      </w:r>
    </w:p>
    <w:p w14:paraId="680097A5"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Sekundārās ambulatorās veselības aprūpes pakalpojumi:</w:t>
      </w:r>
    </w:p>
    <w:p w14:paraId="79C688C7"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Neiroelektrofizioloģiskie funkcionālie izmeklējumi</w:t>
      </w:r>
    </w:p>
    <w:p w14:paraId="507A3374"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Psihiatrijas slimnieku ārstēšana psihiatriskā profila dienas stacionārā pieaugušajiem un bērniem</w:t>
      </w:r>
    </w:p>
    <w:p w14:paraId="7B14B809"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Metadona aizvietojošās terapijas kabineta pakalpojumi</w:t>
      </w:r>
    </w:p>
    <w:p w14:paraId="64E53BBC"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Psihologa (Metadona aizvietojošās programmas ietvaros) pakalpojumi</w:t>
      </w:r>
    </w:p>
    <w:p w14:paraId="49318EE9"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Speciālistu pakalpojumi psihiatrijā un narkoloģijā</w:t>
      </w:r>
    </w:p>
    <w:p w14:paraId="0D4464E7"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Tiesu psihiatriskā un psiholoģiskā ekspertīze</w:t>
      </w:r>
    </w:p>
    <w:p w14:paraId="13DFA6BF"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Rezidentu apmācība psihiatrijā un narkoloģijā</w:t>
      </w:r>
    </w:p>
    <w:p w14:paraId="060CA30A"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Sociālā aprūpe un sociālā rehabilitācija:</w:t>
      </w:r>
    </w:p>
    <w:p w14:paraId="2DD76C35"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Ilgstošā sociālā aprūpe un sociālā rehabilitācija personām ar smagiem garīga rakstura traucējumiem</w:t>
      </w:r>
    </w:p>
    <w:p w14:paraId="3C5F0239"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Sociālās rehabilitācijas pakalpojumi no psihoaktīvām vielām atkarīgiem bērniem un pieaugušām personām</w:t>
      </w:r>
    </w:p>
    <w:p w14:paraId="4D9D1A40" w14:textId="77777777" w:rsidR="008328C0" w:rsidRDefault="008328C0" w:rsidP="008328C0">
      <w:pPr>
        <w:pStyle w:val="Sarakstarindkopa"/>
        <w:spacing w:before="100" w:beforeAutospacing="1" w:after="100" w:afterAutospacing="1"/>
        <w:jc w:val="both"/>
        <w:rPr>
          <w:rFonts w:cstheme="minorHAnsi"/>
        </w:rPr>
      </w:pPr>
    </w:p>
    <w:p w14:paraId="234A8BCA" w14:textId="7E102D0C" w:rsidR="00091868" w:rsidRPr="00091868" w:rsidRDefault="00091868" w:rsidP="008328C0">
      <w:pPr>
        <w:pStyle w:val="Sarakstarindkopa"/>
        <w:spacing w:before="100" w:beforeAutospacing="1" w:after="100" w:afterAutospacing="1"/>
        <w:ind w:left="426"/>
        <w:jc w:val="both"/>
        <w:rPr>
          <w:rFonts w:cstheme="minorHAnsi"/>
        </w:rPr>
      </w:pPr>
      <w:r w:rsidRPr="00091868">
        <w:rPr>
          <w:rFonts w:cstheme="minorHAnsi"/>
        </w:rPr>
        <w:t xml:space="preserve">Sakarā ar izsludināto ārkārtas stāvokli veselības aprūpes sistēmā, lai mazinātu Valsts slimnīcu noslogojumu, VSIA “Slimnīca “Ģintermuiža”” personāla, pacientu/klientu veselības apdraudējumu un slimnīcas darbības nepārtrauktības riskus saistībā ar vīrusa COVID-19 izplatību, 2020.gada 11.decembrī Valde pieņem lēmumu slimnīcā atvērt nodaļu COVID-19 pacientu ārstēšanai, pārprofilējot Hronisko pacientu nodaļas 40 gultasvietas. Sakarā ar to, ka pielāgotās gultasvietas nebūs nodrošinātas ar stacionāro skābekļa padevi (izvadu), nodaļā tiks veikta COVID-19 inficētu pacientu ar vieglu slimības gaitu un primāro diagnozi “Psihiski traucējumi” ārstēšana, kā arī ar sociālām indikācijām vai Veselības inspekcijas saskaņojumu. 2020.gada 14.decembrī tiek izdots Valdes locekļa rīkojums Nr.80 par Infekcijas slimību nodaļas izveidošanu. </w:t>
      </w:r>
    </w:p>
    <w:p w14:paraId="23E51DCC" w14:textId="229BD510" w:rsidR="009C2945" w:rsidRPr="003D07A2" w:rsidRDefault="00091868" w:rsidP="00C06C05">
      <w:pPr>
        <w:spacing w:before="100" w:beforeAutospacing="1" w:after="100" w:afterAutospacing="1"/>
        <w:jc w:val="both"/>
        <w:rPr>
          <w:rFonts w:cstheme="minorHAnsi"/>
        </w:rPr>
      </w:pPr>
      <w:r>
        <w:rPr>
          <w:rFonts w:cstheme="minorHAnsi"/>
        </w:rPr>
        <w:t>N</w:t>
      </w:r>
      <w:r w:rsidR="009C2945" w:rsidRPr="003D07A2">
        <w:rPr>
          <w:rFonts w:cstheme="minorHAnsi"/>
        </w:rPr>
        <w:t>o 202</w:t>
      </w:r>
      <w:r>
        <w:rPr>
          <w:rFonts w:cstheme="minorHAnsi"/>
        </w:rPr>
        <w:t>1</w:t>
      </w:r>
      <w:r w:rsidR="009C2945" w:rsidRPr="003D07A2">
        <w:rPr>
          <w:rFonts w:cstheme="minorHAnsi"/>
        </w:rPr>
        <w:t>. gada 1.janvāra</w:t>
      </w:r>
      <w:r w:rsidR="0073779C" w:rsidRPr="003D07A2">
        <w:rPr>
          <w:rFonts w:cstheme="minorHAnsi"/>
        </w:rPr>
        <w:t xml:space="preserve"> </w:t>
      </w:r>
      <w:r w:rsidR="009C2945" w:rsidRPr="003D07A2">
        <w:rPr>
          <w:rFonts w:cstheme="minorHAnsi"/>
        </w:rPr>
        <w:t xml:space="preserve">ir pieejamas </w:t>
      </w:r>
      <w:r w:rsidR="00B607CC" w:rsidRPr="003D07A2">
        <w:rPr>
          <w:rFonts w:cstheme="minorHAnsi"/>
        </w:rPr>
        <w:t xml:space="preserve">šādas </w:t>
      </w:r>
      <w:r w:rsidR="009C2945" w:rsidRPr="003D07A2">
        <w:rPr>
          <w:rFonts w:cstheme="minorHAnsi"/>
        </w:rPr>
        <w:t>nodaļas:</w:t>
      </w:r>
    </w:p>
    <w:p w14:paraId="27B4F3D4" w14:textId="77777777" w:rsidR="009C2945" w:rsidRPr="003D07A2" w:rsidRDefault="009C2945" w:rsidP="009C2945">
      <w:pPr>
        <w:pStyle w:val="Sarakstarindkopa"/>
        <w:numPr>
          <w:ilvl w:val="0"/>
          <w:numId w:val="2"/>
        </w:numPr>
        <w:spacing w:after="0"/>
        <w:jc w:val="both"/>
        <w:rPr>
          <w:rFonts w:cstheme="minorHAnsi"/>
        </w:rPr>
      </w:pPr>
      <w:r w:rsidRPr="003D07A2">
        <w:rPr>
          <w:rFonts w:cstheme="minorHAnsi"/>
        </w:rPr>
        <w:t>1.akūtā psihiatrijas nodaļā – 70 vietas</w:t>
      </w:r>
    </w:p>
    <w:p w14:paraId="63FAC1E3" w14:textId="77777777" w:rsidR="009C2945" w:rsidRPr="003D07A2" w:rsidRDefault="009C2945" w:rsidP="009C2945">
      <w:pPr>
        <w:pStyle w:val="Sarakstarindkopa"/>
        <w:numPr>
          <w:ilvl w:val="0"/>
          <w:numId w:val="2"/>
        </w:numPr>
        <w:spacing w:after="0"/>
        <w:jc w:val="both"/>
        <w:rPr>
          <w:rFonts w:cstheme="minorHAnsi"/>
        </w:rPr>
      </w:pPr>
      <w:r w:rsidRPr="003D07A2">
        <w:rPr>
          <w:rFonts w:cstheme="minorHAnsi"/>
        </w:rPr>
        <w:t>2.akūtās psihiatrijas nodaļā – 70 vietas</w:t>
      </w:r>
    </w:p>
    <w:p w14:paraId="25ED124F" w14:textId="77777777" w:rsidR="009C2945" w:rsidRPr="003D07A2" w:rsidRDefault="009C2945" w:rsidP="009C2945">
      <w:pPr>
        <w:pStyle w:val="Sarakstarindkopa"/>
        <w:numPr>
          <w:ilvl w:val="0"/>
          <w:numId w:val="2"/>
        </w:numPr>
        <w:spacing w:after="0"/>
        <w:jc w:val="both"/>
        <w:rPr>
          <w:rFonts w:cstheme="minorHAnsi"/>
        </w:rPr>
      </w:pPr>
      <w:r w:rsidRPr="003D07A2">
        <w:rPr>
          <w:rFonts w:cstheme="minorHAnsi"/>
        </w:rPr>
        <w:t>Neirožu nodaļa – 35 vietas</w:t>
      </w:r>
    </w:p>
    <w:p w14:paraId="12E4294F" w14:textId="0A7AA4F5" w:rsidR="009C2945" w:rsidRDefault="009C2945" w:rsidP="009C2945">
      <w:pPr>
        <w:pStyle w:val="Sarakstarindkopa"/>
        <w:numPr>
          <w:ilvl w:val="0"/>
          <w:numId w:val="2"/>
        </w:numPr>
        <w:spacing w:after="0"/>
        <w:jc w:val="both"/>
        <w:rPr>
          <w:rFonts w:cstheme="minorHAnsi"/>
        </w:rPr>
      </w:pPr>
      <w:r w:rsidRPr="003D07A2">
        <w:rPr>
          <w:rFonts w:cstheme="minorHAnsi"/>
        </w:rPr>
        <w:t xml:space="preserve">Hroniskās psihiatrijas nodaļā – </w:t>
      </w:r>
      <w:r w:rsidR="00091868">
        <w:rPr>
          <w:rFonts w:cstheme="minorHAnsi"/>
        </w:rPr>
        <w:t>1</w:t>
      </w:r>
      <w:r w:rsidRPr="003D07A2">
        <w:rPr>
          <w:rFonts w:cstheme="minorHAnsi"/>
        </w:rPr>
        <w:t>5 vietas</w:t>
      </w:r>
    </w:p>
    <w:p w14:paraId="1E16FF4E" w14:textId="04CD3070" w:rsidR="00091868" w:rsidRPr="003D07A2" w:rsidRDefault="00091868" w:rsidP="009C2945">
      <w:pPr>
        <w:pStyle w:val="Sarakstarindkopa"/>
        <w:numPr>
          <w:ilvl w:val="0"/>
          <w:numId w:val="2"/>
        </w:numPr>
        <w:spacing w:after="0"/>
        <w:jc w:val="both"/>
        <w:rPr>
          <w:rFonts w:cstheme="minorHAnsi"/>
        </w:rPr>
      </w:pPr>
      <w:r>
        <w:rPr>
          <w:rFonts w:cstheme="minorHAnsi"/>
        </w:rPr>
        <w:t>Infekcijas nodaļa COVID-19 pozitīvu pacientu ārstēšanai – 40 vietas</w:t>
      </w:r>
    </w:p>
    <w:p w14:paraId="5C41ED3C" w14:textId="77C7D5E4" w:rsidR="00B607CC" w:rsidRPr="003D07A2" w:rsidRDefault="00AD2C34" w:rsidP="009C2945">
      <w:pPr>
        <w:pStyle w:val="Sarakstarindkopa"/>
        <w:numPr>
          <w:ilvl w:val="0"/>
          <w:numId w:val="2"/>
        </w:numPr>
        <w:spacing w:after="0"/>
        <w:jc w:val="both"/>
        <w:rPr>
          <w:rFonts w:cstheme="minorHAnsi"/>
        </w:rPr>
      </w:pPr>
      <w:r w:rsidRPr="003D07A2">
        <w:rPr>
          <w:rFonts w:cstheme="minorHAnsi"/>
        </w:rPr>
        <w:t>Narkoloģiskā profila pacientiem</w:t>
      </w:r>
      <w:r w:rsidR="006B2C14" w:rsidRPr="003D07A2">
        <w:rPr>
          <w:rFonts w:cstheme="minorHAnsi"/>
        </w:rPr>
        <w:t>:</w:t>
      </w:r>
    </w:p>
    <w:p w14:paraId="464A47CE" w14:textId="4865782D" w:rsidR="00AD2C34" w:rsidRPr="003D07A2" w:rsidRDefault="00AD2C34" w:rsidP="00AD2C34">
      <w:pPr>
        <w:pStyle w:val="Sarakstarindkopa"/>
        <w:numPr>
          <w:ilvl w:val="1"/>
          <w:numId w:val="2"/>
        </w:numPr>
        <w:spacing w:after="0"/>
        <w:jc w:val="both"/>
        <w:rPr>
          <w:rFonts w:cstheme="minorHAnsi"/>
        </w:rPr>
      </w:pPr>
      <w:r w:rsidRPr="003D07A2">
        <w:rPr>
          <w:rFonts w:cstheme="minorHAnsi"/>
        </w:rPr>
        <w:t>narkoloģija – 19 vietas</w:t>
      </w:r>
      <w:r w:rsidR="006B2C14" w:rsidRPr="003D07A2">
        <w:rPr>
          <w:rFonts w:cstheme="minorHAnsi"/>
        </w:rPr>
        <w:t>;</w:t>
      </w:r>
    </w:p>
    <w:p w14:paraId="5CF377CD" w14:textId="52B505F4"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obligātā narkoloģiskā palīdzība bērniem pēc bāriņtiesas lēmuma </w:t>
      </w:r>
      <w:r w:rsidR="006B2C14" w:rsidRPr="003D07A2">
        <w:rPr>
          <w:rFonts w:cstheme="minorHAnsi"/>
        </w:rPr>
        <w:t xml:space="preserve">– </w:t>
      </w:r>
      <w:r w:rsidRPr="003D07A2">
        <w:rPr>
          <w:rFonts w:cstheme="minorHAnsi"/>
        </w:rPr>
        <w:t>1 vieta</w:t>
      </w:r>
      <w:r w:rsidR="006B2C14" w:rsidRPr="003D07A2">
        <w:rPr>
          <w:rFonts w:cstheme="minorHAnsi"/>
        </w:rPr>
        <w:t>;</w:t>
      </w:r>
    </w:p>
    <w:p w14:paraId="7A652904" w14:textId="41EC33A6"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Minesotas programma stacionārā </w:t>
      </w:r>
      <w:r w:rsidR="006B2C14" w:rsidRPr="003D07A2">
        <w:rPr>
          <w:rFonts w:cstheme="minorHAnsi"/>
        </w:rPr>
        <w:t xml:space="preserve">– </w:t>
      </w:r>
      <w:r w:rsidRPr="003D07A2">
        <w:rPr>
          <w:rFonts w:cstheme="minorHAnsi"/>
        </w:rPr>
        <w:t>10 vietas;</w:t>
      </w:r>
    </w:p>
    <w:p w14:paraId="0A999795" w14:textId="47D80CBA"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narkomānu rehabilitācija pieaugušajiem </w:t>
      </w:r>
      <w:r w:rsidR="006B2C14" w:rsidRPr="003D07A2">
        <w:rPr>
          <w:rFonts w:cstheme="minorHAnsi"/>
        </w:rPr>
        <w:t xml:space="preserve">– </w:t>
      </w:r>
      <w:r w:rsidRPr="003D07A2">
        <w:rPr>
          <w:rFonts w:cstheme="minorHAnsi"/>
        </w:rPr>
        <w:t>5 vietas;</w:t>
      </w:r>
    </w:p>
    <w:p w14:paraId="0332835C" w14:textId="49FF7E4E"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narkomānu rehabilitācija stacionārā bērniem </w:t>
      </w:r>
      <w:r w:rsidR="006B2C14" w:rsidRPr="003D07A2">
        <w:rPr>
          <w:rFonts w:cstheme="minorHAnsi"/>
        </w:rPr>
        <w:t xml:space="preserve">– </w:t>
      </w:r>
      <w:r w:rsidRPr="003D07A2">
        <w:rPr>
          <w:rFonts w:cstheme="minorHAnsi"/>
        </w:rPr>
        <w:t>5 vietas</w:t>
      </w:r>
      <w:r w:rsidR="006B2C14" w:rsidRPr="003D07A2">
        <w:rPr>
          <w:rFonts w:cstheme="minorHAnsi"/>
        </w:rPr>
        <w:t>;</w:t>
      </w:r>
    </w:p>
    <w:p w14:paraId="56116F8C" w14:textId="77777777" w:rsidR="009C2945" w:rsidRPr="003D07A2" w:rsidRDefault="009C2945" w:rsidP="009C2945">
      <w:pPr>
        <w:pStyle w:val="Sarakstarindkopa"/>
        <w:numPr>
          <w:ilvl w:val="0"/>
          <w:numId w:val="2"/>
        </w:numPr>
        <w:spacing w:after="0"/>
        <w:jc w:val="both"/>
        <w:rPr>
          <w:rFonts w:cstheme="minorHAnsi"/>
        </w:rPr>
      </w:pPr>
      <w:r w:rsidRPr="003D07A2">
        <w:rPr>
          <w:rFonts w:cstheme="minorHAnsi"/>
        </w:rPr>
        <w:t>Gerontopsihiatrijas nodaļā – 30 vietas;</w:t>
      </w:r>
    </w:p>
    <w:p w14:paraId="75F1425F" w14:textId="77777777" w:rsidR="009C2945" w:rsidRPr="003D07A2" w:rsidRDefault="009C2945" w:rsidP="009C2945">
      <w:pPr>
        <w:pStyle w:val="Sarakstarindkopa"/>
        <w:numPr>
          <w:ilvl w:val="0"/>
          <w:numId w:val="2"/>
        </w:numPr>
        <w:spacing w:after="0"/>
        <w:jc w:val="both"/>
        <w:rPr>
          <w:rFonts w:cstheme="minorHAnsi"/>
        </w:rPr>
      </w:pPr>
      <w:r w:rsidRPr="003D07A2">
        <w:rPr>
          <w:rFonts w:cstheme="minorHAnsi"/>
        </w:rPr>
        <w:t>Bērnu psihiatrijas nodaļā – 15 vietas</w:t>
      </w:r>
    </w:p>
    <w:p w14:paraId="438C21A9" w14:textId="77777777" w:rsidR="009C2945" w:rsidRPr="003D07A2" w:rsidRDefault="009C2945" w:rsidP="009C2945">
      <w:pPr>
        <w:pStyle w:val="Sarakstarindkopa"/>
        <w:numPr>
          <w:ilvl w:val="0"/>
          <w:numId w:val="2"/>
        </w:numPr>
        <w:spacing w:after="0"/>
        <w:jc w:val="both"/>
        <w:rPr>
          <w:rFonts w:cstheme="minorHAnsi"/>
        </w:rPr>
      </w:pPr>
      <w:r w:rsidRPr="003D07A2">
        <w:rPr>
          <w:rFonts w:cstheme="minorHAnsi"/>
        </w:rPr>
        <w:t>Uzņemšanas nodaļā ar 5 observācijas gultas vietām.</w:t>
      </w:r>
    </w:p>
    <w:p w14:paraId="1777A793" w14:textId="6A242746" w:rsidR="006F5F3B" w:rsidRPr="003D07A2" w:rsidRDefault="00A15A56" w:rsidP="00C06C05">
      <w:pPr>
        <w:spacing w:before="100" w:beforeAutospacing="1" w:after="100" w:afterAutospacing="1"/>
        <w:jc w:val="both"/>
        <w:rPr>
          <w:rFonts w:cstheme="minorHAnsi"/>
        </w:rPr>
      </w:pPr>
      <w:r w:rsidRPr="003D07A2">
        <w:rPr>
          <w:rFonts w:cstheme="minorHAnsi"/>
        </w:rPr>
        <w:t xml:space="preserve">Ārkārtas situācijas laikā, atbilstoši Ministru kabineta 2020.gada 6.novembra rīkojumam Nr.655 “Par ārkārtējās situācijas izsludināšanu”, kapitālsabiedrība </w:t>
      </w:r>
      <w:r w:rsidR="00091868">
        <w:rPr>
          <w:rFonts w:cstheme="minorHAnsi"/>
        </w:rPr>
        <w:t>pārskata periodā</w:t>
      </w:r>
      <w:r w:rsidRPr="003D07A2">
        <w:rPr>
          <w:rFonts w:cstheme="minorHAnsi"/>
        </w:rPr>
        <w:t xml:space="preserve"> neierobežoja </w:t>
      </w:r>
      <w:r w:rsidR="008328C0">
        <w:rPr>
          <w:rFonts w:cstheme="minorHAnsi"/>
        </w:rPr>
        <w:t xml:space="preserve">diennakts stacionāro veselības aprūpes un </w:t>
      </w:r>
      <w:r w:rsidRPr="003D07A2">
        <w:rPr>
          <w:rFonts w:cstheme="minorHAnsi"/>
        </w:rPr>
        <w:t>sekundāro ambulatoro veselības aprūpes pakalpojumu sniegšanu.</w:t>
      </w:r>
    </w:p>
    <w:p w14:paraId="0B7B0DCA" w14:textId="77777777" w:rsidR="008328C0" w:rsidRDefault="008328C0" w:rsidP="008D79D0">
      <w:pPr>
        <w:spacing w:after="0"/>
        <w:rPr>
          <w:rFonts w:cstheme="minorHAnsi"/>
          <w:b/>
          <w:bCs/>
        </w:rPr>
      </w:pPr>
    </w:p>
    <w:p w14:paraId="7B885031" w14:textId="08038E69" w:rsidR="008D79D0" w:rsidRPr="003D07A2" w:rsidRDefault="008D79D0" w:rsidP="008D79D0">
      <w:pPr>
        <w:spacing w:after="0"/>
        <w:rPr>
          <w:rFonts w:cstheme="minorHAnsi"/>
          <w:b/>
          <w:bCs/>
        </w:rPr>
      </w:pPr>
      <w:r w:rsidRPr="003D07A2">
        <w:rPr>
          <w:rFonts w:cstheme="minorHAnsi"/>
          <w:b/>
          <w:bCs/>
        </w:rPr>
        <w:t>Sabiedrības finanšu darbības rezultāti</w:t>
      </w:r>
    </w:p>
    <w:p w14:paraId="44BAC103" w14:textId="607B3E7A" w:rsidR="009209F4" w:rsidRPr="003D07A2" w:rsidRDefault="00D44D91" w:rsidP="00C06C05">
      <w:pPr>
        <w:spacing w:before="100" w:beforeAutospacing="1" w:after="100" w:afterAutospacing="1"/>
        <w:jc w:val="both"/>
        <w:rPr>
          <w:rFonts w:cstheme="minorHAnsi"/>
        </w:rPr>
      </w:pPr>
      <w:r w:rsidRPr="003D07A2">
        <w:rPr>
          <w:rFonts w:cstheme="minorHAnsi"/>
        </w:rPr>
        <w:t xml:space="preserve">Pārskata perioda neto apgrozījums ir </w:t>
      </w:r>
      <w:r w:rsidR="008328C0">
        <w:rPr>
          <w:rFonts w:cstheme="minorHAnsi"/>
        </w:rPr>
        <w:t>2</w:t>
      </w:r>
      <w:r w:rsidR="004C5AC1" w:rsidRPr="003D07A2">
        <w:rPr>
          <w:rFonts w:cstheme="minorHAnsi"/>
        </w:rPr>
        <w:t>.6</w:t>
      </w:r>
      <w:r w:rsidRPr="003D07A2">
        <w:rPr>
          <w:rFonts w:cstheme="minorHAnsi"/>
        </w:rPr>
        <w:t xml:space="preserve"> miljoni euro, kas, salīdzinot ar 20</w:t>
      </w:r>
      <w:r w:rsidR="008328C0">
        <w:rPr>
          <w:rFonts w:cstheme="minorHAnsi"/>
        </w:rPr>
        <w:t>20</w:t>
      </w:r>
      <w:r w:rsidRPr="003D07A2">
        <w:rPr>
          <w:rFonts w:cstheme="minorHAnsi"/>
        </w:rPr>
        <w:t xml:space="preserve">.gadu, ir palielinājies par </w:t>
      </w:r>
      <w:r w:rsidR="008328C0">
        <w:rPr>
          <w:rFonts w:cstheme="minorHAnsi"/>
        </w:rPr>
        <w:t>0.3</w:t>
      </w:r>
      <w:r w:rsidR="004C5AC1" w:rsidRPr="003D07A2">
        <w:rPr>
          <w:rFonts w:cstheme="minorHAnsi"/>
        </w:rPr>
        <w:t xml:space="preserve"> milj</w:t>
      </w:r>
      <w:r w:rsidRPr="003D07A2">
        <w:rPr>
          <w:rFonts w:cstheme="minorHAnsi"/>
        </w:rPr>
        <w:t xml:space="preserve"> euro, bet ir par </w:t>
      </w:r>
      <w:r w:rsidR="008328C0">
        <w:rPr>
          <w:rFonts w:cstheme="minorHAnsi"/>
        </w:rPr>
        <w:t>0.16milj.</w:t>
      </w:r>
      <w:r w:rsidRPr="003D07A2">
        <w:rPr>
          <w:rFonts w:cstheme="minorHAnsi"/>
        </w:rPr>
        <w:t xml:space="preserve"> euro mazāk kā plānots 202</w:t>
      </w:r>
      <w:r w:rsidR="008328C0">
        <w:rPr>
          <w:rFonts w:cstheme="minorHAnsi"/>
        </w:rPr>
        <w:t>1</w:t>
      </w:r>
      <w:r w:rsidRPr="003D07A2">
        <w:rPr>
          <w:rFonts w:cstheme="minorHAnsi"/>
        </w:rPr>
        <w:t>.gadā.</w:t>
      </w:r>
    </w:p>
    <w:p w14:paraId="4B8B788A" w14:textId="679FB3D2" w:rsidR="000C4CC7" w:rsidRPr="003D07A2" w:rsidRDefault="000C4CC7" w:rsidP="00C06C05">
      <w:pPr>
        <w:spacing w:before="100" w:beforeAutospacing="1" w:after="100" w:afterAutospacing="1"/>
        <w:jc w:val="both"/>
        <w:rPr>
          <w:rFonts w:cstheme="minorHAnsi"/>
        </w:rPr>
      </w:pPr>
      <w:r w:rsidRPr="003D07A2">
        <w:rPr>
          <w:rFonts w:cstheme="minorHAnsi"/>
        </w:rPr>
        <w:t xml:space="preserve">Kopējie kapitālsabiedrības ieņēmumi pārskata gadā ir vairāk kā </w:t>
      </w:r>
      <w:r w:rsidR="00FA2B4E">
        <w:rPr>
          <w:rFonts w:cstheme="minorHAnsi"/>
        </w:rPr>
        <w:t>3.2</w:t>
      </w:r>
      <w:r w:rsidRPr="003D07A2">
        <w:rPr>
          <w:rFonts w:cstheme="minorHAnsi"/>
        </w:rPr>
        <w:t xml:space="preserve"> milj.euro, kas ir par </w:t>
      </w:r>
      <w:r w:rsidR="00FA2B4E">
        <w:rPr>
          <w:rFonts w:cstheme="minorHAnsi"/>
        </w:rPr>
        <w:t>0.8</w:t>
      </w:r>
      <w:r w:rsidRPr="003D07A2">
        <w:rPr>
          <w:rFonts w:cstheme="minorHAnsi"/>
        </w:rPr>
        <w:t xml:space="preserve"> milj.euro vairāk kā 20</w:t>
      </w:r>
      <w:r w:rsidR="00FA2B4E">
        <w:rPr>
          <w:rFonts w:cstheme="minorHAnsi"/>
        </w:rPr>
        <w:t>20</w:t>
      </w:r>
      <w:r w:rsidRPr="003D07A2">
        <w:rPr>
          <w:rFonts w:cstheme="minorHAnsi"/>
        </w:rPr>
        <w:t xml:space="preserve">.gadā un par </w:t>
      </w:r>
      <w:r w:rsidR="00FA2B4E">
        <w:rPr>
          <w:rFonts w:cstheme="minorHAnsi"/>
        </w:rPr>
        <w:t>0.16 milj.</w:t>
      </w:r>
      <w:r w:rsidRPr="003D07A2">
        <w:rPr>
          <w:rFonts w:cstheme="minorHAnsi"/>
        </w:rPr>
        <w:t xml:space="preserve"> euro vairāk kā plānots.</w:t>
      </w:r>
    </w:p>
    <w:p w14:paraId="409C27EA" w14:textId="7215713D" w:rsidR="00AB329C" w:rsidRPr="003D07A2" w:rsidRDefault="00D44D91" w:rsidP="00C06C05">
      <w:pPr>
        <w:spacing w:before="100" w:beforeAutospacing="1" w:after="100" w:afterAutospacing="1"/>
        <w:jc w:val="both"/>
        <w:rPr>
          <w:rFonts w:cstheme="minorHAnsi"/>
        </w:rPr>
      </w:pPr>
      <w:r w:rsidRPr="003D07A2">
        <w:rPr>
          <w:rFonts w:cstheme="minorHAnsi"/>
        </w:rPr>
        <w:t xml:space="preserve">Veselības aprūpes pakalpojumu ieņēmumi </w:t>
      </w:r>
      <w:r w:rsidR="00027DF4" w:rsidRPr="003D07A2">
        <w:rPr>
          <w:rFonts w:cstheme="minorHAnsi"/>
        </w:rPr>
        <w:t xml:space="preserve">ir vairāk kā </w:t>
      </w:r>
      <w:r w:rsidR="00FC73ED">
        <w:rPr>
          <w:rFonts w:cstheme="minorHAnsi"/>
        </w:rPr>
        <w:t>6</w:t>
      </w:r>
      <w:r w:rsidR="0097464D" w:rsidRPr="003D07A2">
        <w:rPr>
          <w:rFonts w:cstheme="minorHAnsi"/>
        </w:rPr>
        <w:t>7</w:t>
      </w:r>
      <w:r w:rsidR="00027DF4" w:rsidRPr="003D07A2">
        <w:rPr>
          <w:rFonts w:cstheme="minorHAnsi"/>
        </w:rPr>
        <w:t xml:space="preserve">% </w:t>
      </w:r>
      <w:r w:rsidRPr="003D07A2">
        <w:rPr>
          <w:rFonts w:cstheme="minorHAnsi"/>
        </w:rPr>
        <w:t xml:space="preserve">no kopējiem Sabiedrības ieņēmumiem, </w:t>
      </w:r>
      <w:r w:rsidR="00FC73ED">
        <w:rPr>
          <w:rFonts w:cstheme="minorHAnsi"/>
        </w:rPr>
        <w:t xml:space="preserve">neskaitot kompensācijas saskaņā ar COVID-19 pandēmiju (piemaksas nodarbinātajiem par darbu uzņemšanas nodaļā, COVID-19 pozitīvu pacientu ārstēšanu, testēšanu, individuālo aizsarglīdzekļu un dezinfekcijas līdzekļu papildus iegādi; transporta izdevumiem). Kompensācijas maksājumi </w:t>
      </w:r>
      <w:r w:rsidR="00021117">
        <w:rPr>
          <w:rFonts w:cstheme="minorHAnsi"/>
        </w:rPr>
        <w:t xml:space="preserve">pārskata periodā </w:t>
      </w:r>
      <w:r w:rsidR="00FC73ED">
        <w:rPr>
          <w:rFonts w:cstheme="minorHAnsi"/>
        </w:rPr>
        <w:t>ir 16% no visiem ieņēmumiem</w:t>
      </w:r>
      <w:r w:rsidR="00021117">
        <w:rPr>
          <w:rFonts w:cstheme="minorHAnsi"/>
        </w:rPr>
        <w:t>.</w:t>
      </w:r>
      <w:r w:rsidR="00FC73ED">
        <w:rPr>
          <w:rFonts w:cstheme="minorHAnsi"/>
        </w:rPr>
        <w:t xml:space="preserve">   </w:t>
      </w:r>
    </w:p>
    <w:p w14:paraId="2CF4D839" w14:textId="77777777" w:rsidR="003D07A2" w:rsidRDefault="003D07A2" w:rsidP="00C06C05">
      <w:pPr>
        <w:spacing w:before="100" w:beforeAutospacing="1" w:after="100" w:afterAutospacing="1"/>
        <w:jc w:val="center"/>
        <w:rPr>
          <w:rFonts w:cstheme="minorHAnsi"/>
          <w:b/>
          <w:bCs/>
        </w:rPr>
      </w:pPr>
    </w:p>
    <w:p w14:paraId="6D2E6FCB" w14:textId="77777777" w:rsidR="008328C0" w:rsidRDefault="008328C0" w:rsidP="00C06C05">
      <w:pPr>
        <w:spacing w:before="100" w:beforeAutospacing="1" w:after="100" w:afterAutospacing="1"/>
        <w:jc w:val="center"/>
        <w:rPr>
          <w:rFonts w:cstheme="minorHAnsi"/>
          <w:b/>
          <w:bCs/>
        </w:rPr>
      </w:pPr>
    </w:p>
    <w:p w14:paraId="760898F4" w14:textId="0ACCC857" w:rsidR="007B12D7" w:rsidRPr="003D07A2" w:rsidRDefault="003F5B24" w:rsidP="00C06C05">
      <w:pPr>
        <w:spacing w:before="100" w:beforeAutospacing="1" w:after="100" w:afterAutospacing="1"/>
        <w:jc w:val="center"/>
        <w:rPr>
          <w:rFonts w:cstheme="minorHAnsi"/>
        </w:rPr>
      </w:pPr>
      <w:r w:rsidRPr="003D07A2">
        <w:rPr>
          <w:rFonts w:cstheme="minorHAnsi"/>
          <w:b/>
          <w:bCs/>
        </w:rPr>
        <w:t>Ieņēmumi</w:t>
      </w:r>
      <w:r w:rsidR="002A6BBB" w:rsidRPr="003D07A2">
        <w:rPr>
          <w:rFonts w:cstheme="minorHAnsi"/>
        </w:rPr>
        <w:t>, euro</w:t>
      </w:r>
    </w:p>
    <w:tbl>
      <w:tblPr>
        <w:tblStyle w:val="Reatabula"/>
        <w:tblW w:w="8744" w:type="dxa"/>
        <w:jc w:val="center"/>
        <w:tblLook w:val="04A0" w:firstRow="1" w:lastRow="0" w:firstColumn="1" w:lastColumn="0" w:noHBand="0" w:noVBand="1"/>
      </w:tblPr>
      <w:tblGrid>
        <w:gridCol w:w="2219"/>
        <w:gridCol w:w="1270"/>
        <w:gridCol w:w="1362"/>
        <w:gridCol w:w="1306"/>
        <w:gridCol w:w="1351"/>
        <w:gridCol w:w="1236"/>
      </w:tblGrid>
      <w:tr w:rsidR="002A6BBB" w:rsidRPr="003D07A2" w14:paraId="0D86E087" w14:textId="77777777" w:rsidTr="00FA2AE6">
        <w:trPr>
          <w:trHeight w:val="709"/>
          <w:jc w:val="center"/>
        </w:trPr>
        <w:tc>
          <w:tcPr>
            <w:tcW w:w="2219" w:type="dxa"/>
            <w:vAlign w:val="center"/>
          </w:tcPr>
          <w:p w14:paraId="42E0C519" w14:textId="77777777" w:rsidR="002A6BBB" w:rsidRPr="003D07A2" w:rsidRDefault="002A6BBB" w:rsidP="00B44AF5">
            <w:pPr>
              <w:jc w:val="center"/>
              <w:rPr>
                <w:rFonts w:cstheme="minorHAnsi"/>
              </w:rPr>
            </w:pPr>
            <w:r w:rsidRPr="003D07A2">
              <w:rPr>
                <w:rFonts w:cstheme="minorHAnsi"/>
              </w:rPr>
              <w:t>Pakalpojumu veidi</w:t>
            </w:r>
          </w:p>
        </w:tc>
        <w:tc>
          <w:tcPr>
            <w:tcW w:w="1270" w:type="dxa"/>
            <w:vAlign w:val="center"/>
          </w:tcPr>
          <w:p w14:paraId="43F61EAF" w14:textId="5A89D934" w:rsidR="002A6BBB" w:rsidRPr="003D07A2" w:rsidRDefault="0097464D" w:rsidP="00B44AF5">
            <w:pPr>
              <w:jc w:val="center"/>
              <w:rPr>
                <w:rFonts w:cstheme="minorHAnsi"/>
              </w:rPr>
            </w:pPr>
            <w:r w:rsidRPr="003D07A2">
              <w:rPr>
                <w:rFonts w:cstheme="minorHAnsi"/>
              </w:rPr>
              <w:t>20</w:t>
            </w:r>
            <w:r w:rsidR="00021117">
              <w:rPr>
                <w:rFonts w:cstheme="minorHAnsi"/>
              </w:rPr>
              <w:t>20</w:t>
            </w:r>
            <w:r w:rsidRPr="003D07A2">
              <w:rPr>
                <w:rFonts w:cstheme="minorHAnsi"/>
              </w:rPr>
              <w:t>.</w:t>
            </w:r>
            <w:r w:rsidR="00B44AF5" w:rsidRPr="003D07A2">
              <w:rPr>
                <w:rFonts w:cstheme="minorHAnsi"/>
              </w:rPr>
              <w:t xml:space="preserve"> </w:t>
            </w:r>
            <w:r w:rsidRPr="003D07A2">
              <w:rPr>
                <w:rFonts w:cstheme="minorHAnsi"/>
              </w:rPr>
              <w:t>gads</w:t>
            </w:r>
          </w:p>
        </w:tc>
        <w:tc>
          <w:tcPr>
            <w:tcW w:w="1362" w:type="dxa"/>
            <w:vAlign w:val="center"/>
          </w:tcPr>
          <w:p w14:paraId="5403E7CE" w14:textId="46455786" w:rsidR="002A6BBB" w:rsidRPr="003D07A2" w:rsidRDefault="002A6BBB" w:rsidP="00B44AF5">
            <w:pPr>
              <w:jc w:val="center"/>
              <w:rPr>
                <w:rFonts w:cstheme="minorHAnsi"/>
              </w:rPr>
            </w:pPr>
            <w:r w:rsidRPr="003D07A2">
              <w:rPr>
                <w:rFonts w:cstheme="minorHAnsi"/>
              </w:rPr>
              <w:t>202</w:t>
            </w:r>
            <w:r w:rsidR="00021117">
              <w:rPr>
                <w:rFonts w:cstheme="minorHAnsi"/>
              </w:rPr>
              <w:t>1</w:t>
            </w:r>
            <w:r w:rsidRPr="003D07A2">
              <w:rPr>
                <w:rFonts w:cstheme="minorHAnsi"/>
              </w:rPr>
              <w:t>.g.</w:t>
            </w:r>
            <w:r w:rsidR="00B44AF5" w:rsidRPr="003D07A2">
              <w:rPr>
                <w:rFonts w:cstheme="minorHAnsi"/>
              </w:rPr>
              <w:t xml:space="preserve"> </w:t>
            </w:r>
            <w:r w:rsidRPr="003D07A2">
              <w:rPr>
                <w:rFonts w:cstheme="minorHAnsi"/>
              </w:rPr>
              <w:t>plāns</w:t>
            </w:r>
          </w:p>
        </w:tc>
        <w:tc>
          <w:tcPr>
            <w:tcW w:w="1306" w:type="dxa"/>
            <w:vAlign w:val="center"/>
          </w:tcPr>
          <w:p w14:paraId="34E0A792" w14:textId="22DAA52D" w:rsidR="002A6BBB" w:rsidRPr="003D07A2" w:rsidRDefault="002A6BBB" w:rsidP="00B44AF5">
            <w:pPr>
              <w:jc w:val="center"/>
              <w:rPr>
                <w:rFonts w:cstheme="minorHAnsi"/>
              </w:rPr>
            </w:pPr>
            <w:r w:rsidRPr="003D07A2">
              <w:rPr>
                <w:rFonts w:cstheme="minorHAnsi"/>
              </w:rPr>
              <w:t>202</w:t>
            </w:r>
            <w:r w:rsidR="00021117">
              <w:rPr>
                <w:rFonts w:cstheme="minorHAnsi"/>
              </w:rPr>
              <w:t>1</w:t>
            </w:r>
            <w:r w:rsidRPr="003D07A2">
              <w:rPr>
                <w:rFonts w:cstheme="minorHAnsi"/>
              </w:rPr>
              <w:t>.g.</w:t>
            </w:r>
            <w:r w:rsidR="00B44AF5" w:rsidRPr="003D07A2">
              <w:rPr>
                <w:rFonts w:cstheme="minorHAnsi"/>
              </w:rPr>
              <w:t xml:space="preserve"> </w:t>
            </w:r>
            <w:r w:rsidRPr="003D07A2">
              <w:rPr>
                <w:rFonts w:cstheme="minorHAnsi"/>
              </w:rPr>
              <w:t>fakts</w:t>
            </w:r>
          </w:p>
        </w:tc>
        <w:tc>
          <w:tcPr>
            <w:tcW w:w="1351" w:type="dxa"/>
            <w:vAlign w:val="center"/>
          </w:tcPr>
          <w:p w14:paraId="29896ECC" w14:textId="06223C1F" w:rsidR="002A6BBB" w:rsidRPr="003D07A2" w:rsidRDefault="002A6BBB" w:rsidP="00B44AF5">
            <w:pPr>
              <w:jc w:val="center"/>
              <w:rPr>
                <w:rFonts w:cstheme="minorHAnsi"/>
              </w:rPr>
            </w:pPr>
            <w:r w:rsidRPr="003D07A2">
              <w:rPr>
                <w:rFonts w:cstheme="minorHAnsi"/>
              </w:rPr>
              <w:t>Novirze pret 20</w:t>
            </w:r>
            <w:r w:rsidR="00021117">
              <w:rPr>
                <w:rFonts w:cstheme="minorHAnsi"/>
              </w:rPr>
              <w:t>20</w:t>
            </w:r>
            <w:r w:rsidRPr="003D07A2">
              <w:rPr>
                <w:rFonts w:cstheme="minorHAnsi"/>
              </w:rPr>
              <w:t>.g.</w:t>
            </w:r>
          </w:p>
        </w:tc>
        <w:tc>
          <w:tcPr>
            <w:tcW w:w="1236" w:type="dxa"/>
            <w:vAlign w:val="center"/>
          </w:tcPr>
          <w:p w14:paraId="186C4B06" w14:textId="77777777" w:rsidR="002A6BBB" w:rsidRPr="003D07A2" w:rsidRDefault="002A6BBB" w:rsidP="00B44AF5">
            <w:pPr>
              <w:jc w:val="center"/>
              <w:rPr>
                <w:rFonts w:cstheme="minorHAnsi"/>
              </w:rPr>
            </w:pPr>
            <w:r w:rsidRPr="003D07A2">
              <w:rPr>
                <w:rFonts w:cstheme="minorHAnsi"/>
              </w:rPr>
              <w:t>Novirze pret plānu</w:t>
            </w:r>
          </w:p>
        </w:tc>
      </w:tr>
      <w:tr w:rsidR="002A6BBB" w:rsidRPr="003D07A2" w14:paraId="1849B81E" w14:textId="77777777" w:rsidTr="00FA2AE6">
        <w:trPr>
          <w:trHeight w:val="488"/>
          <w:jc w:val="center"/>
        </w:trPr>
        <w:tc>
          <w:tcPr>
            <w:tcW w:w="2219" w:type="dxa"/>
          </w:tcPr>
          <w:p w14:paraId="0A604921" w14:textId="77777777" w:rsidR="002A6BBB" w:rsidRPr="003D07A2" w:rsidRDefault="002A6BBB" w:rsidP="002A6BBB">
            <w:pPr>
              <w:rPr>
                <w:rFonts w:cstheme="minorHAnsi"/>
              </w:rPr>
            </w:pPr>
            <w:r w:rsidRPr="003D07A2">
              <w:rPr>
                <w:rFonts w:cstheme="minorHAnsi"/>
              </w:rPr>
              <w:t>Stacionārie veselības aprūpes pakalpojumi</w:t>
            </w:r>
          </w:p>
        </w:tc>
        <w:tc>
          <w:tcPr>
            <w:tcW w:w="1270" w:type="dxa"/>
            <w:vAlign w:val="center"/>
          </w:tcPr>
          <w:p w14:paraId="2AE21F4D" w14:textId="39395A69" w:rsidR="002A6BBB" w:rsidRPr="003D07A2" w:rsidRDefault="00021117" w:rsidP="005D4047">
            <w:pPr>
              <w:jc w:val="center"/>
              <w:rPr>
                <w:rFonts w:cstheme="minorHAnsi"/>
              </w:rPr>
            </w:pPr>
            <w:r>
              <w:rPr>
                <w:rFonts w:cstheme="minorHAnsi"/>
              </w:rPr>
              <w:t>1 677 626</w:t>
            </w:r>
          </w:p>
        </w:tc>
        <w:tc>
          <w:tcPr>
            <w:tcW w:w="1362" w:type="dxa"/>
            <w:vAlign w:val="center"/>
          </w:tcPr>
          <w:p w14:paraId="3FD79C2C" w14:textId="7C469186" w:rsidR="002A6BBB" w:rsidRPr="003D07A2" w:rsidRDefault="00021117" w:rsidP="005D4047">
            <w:pPr>
              <w:jc w:val="center"/>
              <w:rPr>
                <w:rFonts w:cstheme="minorHAnsi"/>
              </w:rPr>
            </w:pPr>
            <w:r>
              <w:rPr>
                <w:rFonts w:cstheme="minorHAnsi"/>
              </w:rPr>
              <w:t>2 064 684</w:t>
            </w:r>
          </w:p>
        </w:tc>
        <w:tc>
          <w:tcPr>
            <w:tcW w:w="1306" w:type="dxa"/>
            <w:vAlign w:val="center"/>
          </w:tcPr>
          <w:p w14:paraId="4D8F1D99" w14:textId="06655B72" w:rsidR="002A6BBB" w:rsidRPr="003D07A2" w:rsidRDefault="00021117" w:rsidP="005D4047">
            <w:pPr>
              <w:jc w:val="center"/>
              <w:rPr>
                <w:rFonts w:cstheme="minorHAnsi"/>
              </w:rPr>
            </w:pPr>
            <w:r>
              <w:rPr>
                <w:rFonts w:cstheme="minorHAnsi"/>
              </w:rPr>
              <w:t>1 941 679</w:t>
            </w:r>
          </w:p>
        </w:tc>
        <w:tc>
          <w:tcPr>
            <w:tcW w:w="1351" w:type="dxa"/>
            <w:vAlign w:val="center"/>
          </w:tcPr>
          <w:p w14:paraId="066F59B7" w14:textId="5213C8BC" w:rsidR="002A6BBB" w:rsidRPr="003D07A2" w:rsidRDefault="00021117" w:rsidP="005D4047">
            <w:pPr>
              <w:jc w:val="center"/>
              <w:rPr>
                <w:rFonts w:cstheme="minorHAnsi"/>
              </w:rPr>
            </w:pPr>
            <w:r>
              <w:rPr>
                <w:rFonts w:cstheme="minorHAnsi"/>
              </w:rPr>
              <w:t>+264 053</w:t>
            </w:r>
          </w:p>
        </w:tc>
        <w:tc>
          <w:tcPr>
            <w:tcW w:w="1236" w:type="dxa"/>
            <w:vAlign w:val="center"/>
          </w:tcPr>
          <w:p w14:paraId="78D180DE" w14:textId="65E8F2D1" w:rsidR="002A6BBB" w:rsidRPr="003D07A2" w:rsidRDefault="00021117" w:rsidP="005D4047">
            <w:pPr>
              <w:jc w:val="center"/>
              <w:rPr>
                <w:rFonts w:cstheme="minorHAnsi"/>
              </w:rPr>
            </w:pPr>
            <w:r>
              <w:rPr>
                <w:rFonts w:cstheme="minorHAnsi"/>
              </w:rPr>
              <w:t>-123 005</w:t>
            </w:r>
          </w:p>
        </w:tc>
      </w:tr>
      <w:tr w:rsidR="002A6BBB" w:rsidRPr="003D07A2" w14:paraId="15688485" w14:textId="77777777" w:rsidTr="00FA2AE6">
        <w:trPr>
          <w:trHeight w:val="473"/>
          <w:jc w:val="center"/>
        </w:trPr>
        <w:tc>
          <w:tcPr>
            <w:tcW w:w="2219" w:type="dxa"/>
          </w:tcPr>
          <w:p w14:paraId="5F2906ED" w14:textId="77777777" w:rsidR="002A6BBB" w:rsidRPr="003D07A2" w:rsidRDefault="002A6BBB" w:rsidP="002A6BBB">
            <w:pPr>
              <w:rPr>
                <w:rFonts w:cstheme="minorHAnsi"/>
              </w:rPr>
            </w:pPr>
            <w:r w:rsidRPr="003D07A2">
              <w:rPr>
                <w:rFonts w:cstheme="minorHAnsi"/>
              </w:rPr>
              <w:t>Ambulatorie veselības aprūpes pakalpojumi</w:t>
            </w:r>
          </w:p>
        </w:tc>
        <w:tc>
          <w:tcPr>
            <w:tcW w:w="1270" w:type="dxa"/>
            <w:vAlign w:val="center"/>
          </w:tcPr>
          <w:p w14:paraId="43FB9C7F" w14:textId="4A41BD3D" w:rsidR="002A6BBB" w:rsidRPr="003D07A2" w:rsidRDefault="00021117" w:rsidP="005D4047">
            <w:pPr>
              <w:jc w:val="center"/>
              <w:rPr>
                <w:rFonts w:cstheme="minorHAnsi"/>
              </w:rPr>
            </w:pPr>
            <w:r>
              <w:rPr>
                <w:rFonts w:cstheme="minorHAnsi"/>
              </w:rPr>
              <w:t>179 664</w:t>
            </w:r>
          </w:p>
        </w:tc>
        <w:tc>
          <w:tcPr>
            <w:tcW w:w="1362" w:type="dxa"/>
            <w:vAlign w:val="center"/>
          </w:tcPr>
          <w:p w14:paraId="26AF8B48" w14:textId="05DC2F2A" w:rsidR="002A6BBB" w:rsidRPr="003D07A2" w:rsidRDefault="00021117" w:rsidP="005D4047">
            <w:pPr>
              <w:jc w:val="center"/>
              <w:rPr>
                <w:rFonts w:cstheme="minorHAnsi"/>
              </w:rPr>
            </w:pPr>
            <w:r>
              <w:rPr>
                <w:rFonts w:cstheme="minorHAnsi"/>
              </w:rPr>
              <w:t>251 330</w:t>
            </w:r>
          </w:p>
        </w:tc>
        <w:tc>
          <w:tcPr>
            <w:tcW w:w="1306" w:type="dxa"/>
            <w:vAlign w:val="center"/>
          </w:tcPr>
          <w:p w14:paraId="377F0626" w14:textId="4FA0DB93" w:rsidR="002A6BBB" w:rsidRPr="003D07A2" w:rsidRDefault="00021117" w:rsidP="005D4047">
            <w:pPr>
              <w:jc w:val="center"/>
              <w:rPr>
                <w:rFonts w:cstheme="minorHAnsi"/>
              </w:rPr>
            </w:pPr>
            <w:r>
              <w:rPr>
                <w:rFonts w:cstheme="minorHAnsi"/>
              </w:rPr>
              <w:t>214 366</w:t>
            </w:r>
          </w:p>
        </w:tc>
        <w:tc>
          <w:tcPr>
            <w:tcW w:w="1351" w:type="dxa"/>
            <w:vAlign w:val="center"/>
          </w:tcPr>
          <w:p w14:paraId="1F1BB41A" w14:textId="5141E0E0" w:rsidR="002A6BBB" w:rsidRPr="003D07A2" w:rsidRDefault="00021117" w:rsidP="005D4047">
            <w:pPr>
              <w:jc w:val="center"/>
              <w:rPr>
                <w:rFonts w:cstheme="minorHAnsi"/>
              </w:rPr>
            </w:pPr>
            <w:r>
              <w:rPr>
                <w:rFonts w:cstheme="minorHAnsi"/>
              </w:rPr>
              <w:t>+34 702</w:t>
            </w:r>
          </w:p>
        </w:tc>
        <w:tc>
          <w:tcPr>
            <w:tcW w:w="1236" w:type="dxa"/>
            <w:vAlign w:val="center"/>
          </w:tcPr>
          <w:p w14:paraId="04D90A30" w14:textId="5BC10281" w:rsidR="002A6BBB" w:rsidRPr="003D07A2" w:rsidRDefault="00021117" w:rsidP="005D4047">
            <w:pPr>
              <w:jc w:val="center"/>
              <w:rPr>
                <w:rFonts w:cstheme="minorHAnsi"/>
              </w:rPr>
            </w:pPr>
            <w:r>
              <w:rPr>
                <w:rFonts w:cstheme="minorHAnsi"/>
              </w:rPr>
              <w:t>-36 964</w:t>
            </w:r>
          </w:p>
        </w:tc>
      </w:tr>
      <w:tr w:rsidR="002A6BBB" w:rsidRPr="003D07A2" w14:paraId="6A2FD710" w14:textId="77777777" w:rsidTr="00FA2AE6">
        <w:trPr>
          <w:trHeight w:val="473"/>
          <w:jc w:val="center"/>
        </w:trPr>
        <w:tc>
          <w:tcPr>
            <w:tcW w:w="2219" w:type="dxa"/>
          </w:tcPr>
          <w:p w14:paraId="65B094D1" w14:textId="77777777" w:rsidR="002A6BBB" w:rsidRPr="003D07A2" w:rsidRDefault="002A6BBB" w:rsidP="002A6BBB">
            <w:pPr>
              <w:rPr>
                <w:rFonts w:cstheme="minorHAnsi"/>
              </w:rPr>
            </w:pPr>
            <w:r w:rsidRPr="003D07A2">
              <w:rPr>
                <w:rFonts w:cstheme="minorHAnsi"/>
              </w:rPr>
              <w:t>Sociālā aprūpe un sociālā rehabilitācija</w:t>
            </w:r>
          </w:p>
        </w:tc>
        <w:tc>
          <w:tcPr>
            <w:tcW w:w="1270" w:type="dxa"/>
            <w:vAlign w:val="center"/>
          </w:tcPr>
          <w:p w14:paraId="424A0019" w14:textId="26FF9BF3" w:rsidR="002A6BBB" w:rsidRPr="003D07A2" w:rsidRDefault="00316C27" w:rsidP="005D4047">
            <w:pPr>
              <w:jc w:val="center"/>
              <w:rPr>
                <w:rFonts w:cstheme="minorHAnsi"/>
              </w:rPr>
            </w:pPr>
            <w:r>
              <w:rPr>
                <w:rFonts w:cstheme="minorHAnsi"/>
              </w:rPr>
              <w:t>315 409</w:t>
            </w:r>
          </w:p>
        </w:tc>
        <w:tc>
          <w:tcPr>
            <w:tcW w:w="1362" w:type="dxa"/>
            <w:vAlign w:val="center"/>
          </w:tcPr>
          <w:p w14:paraId="2BF2A7AF" w14:textId="3A60A60C" w:rsidR="002A6BBB" w:rsidRPr="003D07A2" w:rsidRDefault="00316C27" w:rsidP="005D4047">
            <w:pPr>
              <w:jc w:val="center"/>
              <w:rPr>
                <w:rFonts w:cstheme="minorHAnsi"/>
              </w:rPr>
            </w:pPr>
            <w:r>
              <w:rPr>
                <w:rFonts w:cstheme="minorHAnsi"/>
              </w:rPr>
              <w:t>313 333</w:t>
            </w:r>
          </w:p>
        </w:tc>
        <w:tc>
          <w:tcPr>
            <w:tcW w:w="1306" w:type="dxa"/>
            <w:vAlign w:val="center"/>
          </w:tcPr>
          <w:p w14:paraId="1717ADEF" w14:textId="3CBABDC4" w:rsidR="002A6BBB" w:rsidRPr="003D07A2" w:rsidRDefault="00316C27" w:rsidP="005D4047">
            <w:pPr>
              <w:jc w:val="center"/>
              <w:rPr>
                <w:rFonts w:cstheme="minorHAnsi"/>
              </w:rPr>
            </w:pPr>
            <w:r>
              <w:rPr>
                <w:rFonts w:cstheme="minorHAnsi"/>
              </w:rPr>
              <w:t>304 018</w:t>
            </w:r>
          </w:p>
        </w:tc>
        <w:tc>
          <w:tcPr>
            <w:tcW w:w="1351" w:type="dxa"/>
            <w:vAlign w:val="center"/>
          </w:tcPr>
          <w:p w14:paraId="027856A3" w14:textId="2301F33A" w:rsidR="002A6BBB" w:rsidRPr="003D07A2" w:rsidRDefault="00316C27" w:rsidP="005D4047">
            <w:pPr>
              <w:jc w:val="center"/>
              <w:rPr>
                <w:rFonts w:cstheme="minorHAnsi"/>
              </w:rPr>
            </w:pPr>
            <w:r>
              <w:rPr>
                <w:rFonts w:cstheme="minorHAnsi"/>
              </w:rPr>
              <w:t>-11 391</w:t>
            </w:r>
          </w:p>
        </w:tc>
        <w:tc>
          <w:tcPr>
            <w:tcW w:w="1236" w:type="dxa"/>
            <w:vAlign w:val="center"/>
          </w:tcPr>
          <w:p w14:paraId="5DA05027" w14:textId="73E91272" w:rsidR="002A6BBB" w:rsidRPr="003D07A2" w:rsidRDefault="00316C27" w:rsidP="005D4047">
            <w:pPr>
              <w:jc w:val="center"/>
              <w:rPr>
                <w:rFonts w:cstheme="minorHAnsi"/>
              </w:rPr>
            </w:pPr>
            <w:r>
              <w:rPr>
                <w:rFonts w:cstheme="minorHAnsi"/>
              </w:rPr>
              <w:t>-9315</w:t>
            </w:r>
          </w:p>
        </w:tc>
      </w:tr>
      <w:tr w:rsidR="002A6BBB" w:rsidRPr="003D07A2" w14:paraId="1DD0F462" w14:textId="77777777" w:rsidTr="00FA2AE6">
        <w:trPr>
          <w:trHeight w:val="473"/>
          <w:jc w:val="center"/>
        </w:trPr>
        <w:tc>
          <w:tcPr>
            <w:tcW w:w="2219" w:type="dxa"/>
          </w:tcPr>
          <w:p w14:paraId="485A6B10" w14:textId="77777777" w:rsidR="002A6BBB" w:rsidRPr="003D07A2" w:rsidRDefault="002A6BBB" w:rsidP="002A6BBB">
            <w:pPr>
              <w:rPr>
                <w:rFonts w:cstheme="minorHAnsi"/>
              </w:rPr>
            </w:pPr>
            <w:r w:rsidRPr="003D07A2">
              <w:rPr>
                <w:rFonts w:cstheme="minorHAnsi"/>
              </w:rPr>
              <w:t>Rezidentu apmācība</w:t>
            </w:r>
          </w:p>
        </w:tc>
        <w:tc>
          <w:tcPr>
            <w:tcW w:w="1270" w:type="dxa"/>
            <w:vAlign w:val="center"/>
          </w:tcPr>
          <w:p w14:paraId="4FCA0E04" w14:textId="13F7D9E6" w:rsidR="002A6BBB" w:rsidRPr="003D07A2" w:rsidRDefault="00316C27" w:rsidP="005D4047">
            <w:pPr>
              <w:jc w:val="center"/>
              <w:rPr>
                <w:rFonts w:cstheme="minorHAnsi"/>
              </w:rPr>
            </w:pPr>
            <w:r>
              <w:rPr>
                <w:rFonts w:cstheme="minorHAnsi"/>
              </w:rPr>
              <w:t>122 690</w:t>
            </w:r>
          </w:p>
        </w:tc>
        <w:tc>
          <w:tcPr>
            <w:tcW w:w="1362" w:type="dxa"/>
            <w:vAlign w:val="center"/>
          </w:tcPr>
          <w:p w14:paraId="15889B0E" w14:textId="2E9EFFDC" w:rsidR="002A6BBB" w:rsidRPr="003D07A2" w:rsidRDefault="00316C27" w:rsidP="005D4047">
            <w:pPr>
              <w:jc w:val="center"/>
              <w:rPr>
                <w:rFonts w:cstheme="minorHAnsi"/>
              </w:rPr>
            </w:pPr>
            <w:r>
              <w:rPr>
                <w:rFonts w:cstheme="minorHAnsi"/>
              </w:rPr>
              <w:t>142 517</w:t>
            </w:r>
          </w:p>
        </w:tc>
        <w:tc>
          <w:tcPr>
            <w:tcW w:w="1306" w:type="dxa"/>
            <w:vAlign w:val="center"/>
          </w:tcPr>
          <w:p w14:paraId="34B11545" w14:textId="2A18CD47" w:rsidR="002A6BBB" w:rsidRPr="003D07A2" w:rsidRDefault="00316C27" w:rsidP="005D4047">
            <w:pPr>
              <w:jc w:val="center"/>
              <w:rPr>
                <w:rFonts w:cstheme="minorHAnsi"/>
              </w:rPr>
            </w:pPr>
            <w:r>
              <w:rPr>
                <w:rFonts w:cstheme="minorHAnsi"/>
              </w:rPr>
              <w:t>149116</w:t>
            </w:r>
          </w:p>
        </w:tc>
        <w:tc>
          <w:tcPr>
            <w:tcW w:w="1351" w:type="dxa"/>
            <w:vAlign w:val="center"/>
          </w:tcPr>
          <w:p w14:paraId="0889BFDA" w14:textId="0F1347D9" w:rsidR="002A6BBB" w:rsidRPr="003D07A2" w:rsidRDefault="00316C27" w:rsidP="005D4047">
            <w:pPr>
              <w:jc w:val="center"/>
              <w:rPr>
                <w:rFonts w:cstheme="minorHAnsi"/>
              </w:rPr>
            </w:pPr>
            <w:r>
              <w:rPr>
                <w:rFonts w:cstheme="minorHAnsi"/>
              </w:rPr>
              <w:t>+26426</w:t>
            </w:r>
          </w:p>
        </w:tc>
        <w:tc>
          <w:tcPr>
            <w:tcW w:w="1236" w:type="dxa"/>
            <w:vAlign w:val="center"/>
          </w:tcPr>
          <w:p w14:paraId="2791C21F" w14:textId="1D3910CC" w:rsidR="002A6BBB" w:rsidRPr="003D07A2" w:rsidRDefault="00316C27" w:rsidP="005D4047">
            <w:pPr>
              <w:jc w:val="center"/>
              <w:rPr>
                <w:rFonts w:cstheme="minorHAnsi"/>
              </w:rPr>
            </w:pPr>
            <w:r>
              <w:rPr>
                <w:rFonts w:cstheme="minorHAnsi"/>
              </w:rPr>
              <w:t>+6599</w:t>
            </w:r>
          </w:p>
        </w:tc>
      </w:tr>
      <w:tr w:rsidR="002A6BBB" w:rsidRPr="003D07A2" w14:paraId="1459C320" w14:textId="77777777" w:rsidTr="00FA2AE6">
        <w:trPr>
          <w:trHeight w:val="473"/>
          <w:jc w:val="center"/>
        </w:trPr>
        <w:tc>
          <w:tcPr>
            <w:tcW w:w="2219" w:type="dxa"/>
          </w:tcPr>
          <w:p w14:paraId="743C1443" w14:textId="77777777" w:rsidR="002A6BBB" w:rsidRPr="003D07A2" w:rsidRDefault="002A6BBB" w:rsidP="002A6BBB">
            <w:pPr>
              <w:rPr>
                <w:rFonts w:cstheme="minorHAnsi"/>
              </w:rPr>
            </w:pPr>
            <w:r w:rsidRPr="003D07A2">
              <w:rPr>
                <w:rFonts w:cstheme="minorHAnsi"/>
              </w:rPr>
              <w:t>Uzņēmuma nopelnītie līdzekļi</w:t>
            </w:r>
          </w:p>
        </w:tc>
        <w:tc>
          <w:tcPr>
            <w:tcW w:w="1270" w:type="dxa"/>
            <w:vAlign w:val="center"/>
          </w:tcPr>
          <w:p w14:paraId="3FE2452D" w14:textId="796E32F8" w:rsidR="002A6BBB" w:rsidRPr="003D07A2" w:rsidRDefault="00316C27" w:rsidP="005D4047">
            <w:pPr>
              <w:jc w:val="center"/>
              <w:rPr>
                <w:rFonts w:cstheme="minorHAnsi"/>
              </w:rPr>
            </w:pPr>
            <w:r>
              <w:rPr>
                <w:rFonts w:cstheme="minorHAnsi"/>
              </w:rPr>
              <w:t>63 797</w:t>
            </w:r>
          </w:p>
        </w:tc>
        <w:tc>
          <w:tcPr>
            <w:tcW w:w="1362" w:type="dxa"/>
            <w:vAlign w:val="center"/>
          </w:tcPr>
          <w:p w14:paraId="6684AC7B" w14:textId="528A20A5" w:rsidR="002A6BBB" w:rsidRPr="003D07A2" w:rsidRDefault="00316C27" w:rsidP="005D4047">
            <w:pPr>
              <w:jc w:val="center"/>
              <w:rPr>
                <w:rFonts w:cstheme="minorHAnsi"/>
              </w:rPr>
            </w:pPr>
            <w:r>
              <w:rPr>
                <w:rFonts w:cstheme="minorHAnsi"/>
              </w:rPr>
              <w:t>60 250</w:t>
            </w:r>
          </w:p>
        </w:tc>
        <w:tc>
          <w:tcPr>
            <w:tcW w:w="1306" w:type="dxa"/>
            <w:vAlign w:val="center"/>
          </w:tcPr>
          <w:p w14:paraId="0AD9E26C" w14:textId="24EF95A0" w:rsidR="002A6BBB" w:rsidRPr="003D07A2" w:rsidRDefault="00316C27" w:rsidP="005D4047">
            <w:pPr>
              <w:jc w:val="center"/>
              <w:rPr>
                <w:rFonts w:cstheme="minorHAnsi"/>
              </w:rPr>
            </w:pPr>
            <w:r>
              <w:rPr>
                <w:rFonts w:cstheme="minorHAnsi"/>
              </w:rPr>
              <w:t>57 472</w:t>
            </w:r>
          </w:p>
        </w:tc>
        <w:tc>
          <w:tcPr>
            <w:tcW w:w="1351" w:type="dxa"/>
            <w:vAlign w:val="center"/>
          </w:tcPr>
          <w:p w14:paraId="63D006C0" w14:textId="6CB1FEF6" w:rsidR="002A6BBB" w:rsidRPr="003D07A2" w:rsidRDefault="00316C27" w:rsidP="005D4047">
            <w:pPr>
              <w:jc w:val="center"/>
              <w:rPr>
                <w:rFonts w:cstheme="minorHAnsi"/>
              </w:rPr>
            </w:pPr>
            <w:r>
              <w:rPr>
                <w:rFonts w:cstheme="minorHAnsi"/>
              </w:rPr>
              <w:t>-6325</w:t>
            </w:r>
          </w:p>
        </w:tc>
        <w:tc>
          <w:tcPr>
            <w:tcW w:w="1236" w:type="dxa"/>
            <w:vAlign w:val="center"/>
          </w:tcPr>
          <w:p w14:paraId="3E9FD276" w14:textId="40F53F1B" w:rsidR="002A6BBB" w:rsidRPr="003D07A2" w:rsidRDefault="00316C27" w:rsidP="005D4047">
            <w:pPr>
              <w:jc w:val="center"/>
              <w:rPr>
                <w:rFonts w:cstheme="minorHAnsi"/>
              </w:rPr>
            </w:pPr>
            <w:r>
              <w:rPr>
                <w:rFonts w:cstheme="minorHAnsi"/>
              </w:rPr>
              <w:t>-2778</w:t>
            </w:r>
          </w:p>
        </w:tc>
      </w:tr>
    </w:tbl>
    <w:p w14:paraId="45BF94BB" w14:textId="77777777" w:rsidR="005D4047" w:rsidRPr="003D07A2" w:rsidRDefault="005D4047" w:rsidP="00FA2AE6">
      <w:pPr>
        <w:spacing w:before="100" w:beforeAutospacing="1" w:after="100" w:afterAutospacing="1"/>
        <w:jc w:val="both"/>
        <w:rPr>
          <w:rFonts w:cstheme="minorHAnsi"/>
        </w:rPr>
      </w:pPr>
      <w:r w:rsidRPr="003D07A2">
        <w:rPr>
          <w:rFonts w:cstheme="minorHAnsi"/>
        </w:rPr>
        <w:t>Galvenais iemesls, kādēļ ieņēmumi nesasniedz plānoto apmēru, ir ārkārtējās situācijas ierobežojošo pasākumu īstenošana</w:t>
      </w:r>
      <w:r w:rsidR="00CC2A17" w:rsidRPr="003D07A2">
        <w:rPr>
          <w:rFonts w:cstheme="minorHAnsi"/>
        </w:rPr>
        <w:t>, kā rezultātā samazinājās pacientu un klientu plūsma atsevišķās ambulatorās pakalpojumu programmās</w:t>
      </w:r>
      <w:r w:rsidR="00A26CAA" w:rsidRPr="003D07A2">
        <w:rPr>
          <w:rFonts w:cstheme="minorHAnsi"/>
        </w:rPr>
        <w:t xml:space="preserve"> un visās sociālās aprūpes un sociālās rehabilitācijas programmās</w:t>
      </w:r>
      <w:r w:rsidR="00CC2A17" w:rsidRPr="003D07A2">
        <w:rPr>
          <w:rFonts w:cstheme="minorHAnsi"/>
        </w:rPr>
        <w:t>.</w:t>
      </w:r>
      <w:r w:rsidR="00DF2D03" w:rsidRPr="003D07A2">
        <w:rPr>
          <w:rFonts w:cstheme="minorHAnsi"/>
        </w:rPr>
        <w:t xml:space="preserve"> </w:t>
      </w:r>
    </w:p>
    <w:p w14:paraId="61B996F5" w14:textId="038937C8" w:rsidR="00DF2D03" w:rsidRPr="003D07A2" w:rsidRDefault="00DF2D03" w:rsidP="00FA2AE6">
      <w:pPr>
        <w:spacing w:before="100" w:beforeAutospacing="1" w:after="100" w:afterAutospacing="1"/>
        <w:jc w:val="both"/>
        <w:rPr>
          <w:rFonts w:cstheme="minorHAnsi"/>
        </w:rPr>
      </w:pPr>
      <w:r w:rsidRPr="003D07A2">
        <w:rPr>
          <w:rFonts w:cstheme="minorHAnsi"/>
        </w:rPr>
        <w:t>Ieņēmumu pieaugumu 202</w:t>
      </w:r>
      <w:r w:rsidR="00316C27">
        <w:rPr>
          <w:rFonts w:cstheme="minorHAnsi"/>
        </w:rPr>
        <w:t>1</w:t>
      </w:r>
      <w:r w:rsidRPr="003D07A2">
        <w:rPr>
          <w:rFonts w:cstheme="minorHAnsi"/>
        </w:rPr>
        <w:t>.gadā gan pārskata periodā, gan turpmākajos periodos, ietekmē veselības aprūpes pakalpojumu tarifu un klientu dienas cenas kāpums atbilstoši normatīvajiem aktiem, kā arī rezidentu skaita palielināšanās un tam atbilstošā finansējuma izmaiņas rezidentu darba apmaksai.</w:t>
      </w:r>
    </w:p>
    <w:p w14:paraId="27E12AB8" w14:textId="696AFD6C" w:rsidR="00A26CAA" w:rsidRPr="003D07A2" w:rsidRDefault="00520ECD" w:rsidP="00FA2AE6">
      <w:pPr>
        <w:spacing w:before="100" w:beforeAutospacing="1" w:after="100" w:afterAutospacing="1"/>
        <w:jc w:val="both"/>
        <w:rPr>
          <w:rFonts w:cstheme="minorHAnsi"/>
        </w:rPr>
      </w:pPr>
      <w:r w:rsidRPr="003D07A2">
        <w:rPr>
          <w:rFonts w:cstheme="minorHAnsi"/>
        </w:rPr>
        <w:t>Tā kā pacientu plūsma samazinājās tieši neatliekamas psihiatriskās veselības pakalpojumu programmā</w:t>
      </w:r>
      <w:r w:rsidR="005A3CF1">
        <w:rPr>
          <w:rFonts w:cstheme="minorHAnsi"/>
        </w:rPr>
        <w:t xml:space="preserve"> ( līguma ar NVD </w:t>
      </w:r>
      <w:r w:rsidR="00450855">
        <w:rPr>
          <w:rFonts w:cstheme="minorHAnsi"/>
        </w:rPr>
        <w:t>ne</w:t>
      </w:r>
      <w:r w:rsidR="005A3CF1">
        <w:rPr>
          <w:rFonts w:cstheme="minorHAnsi"/>
        </w:rPr>
        <w:t>izpilde 497 450 euro)</w:t>
      </w:r>
      <w:r w:rsidRPr="003D07A2">
        <w:rPr>
          <w:rFonts w:cstheme="minorHAnsi"/>
        </w:rPr>
        <w:t>,</w:t>
      </w:r>
      <w:r w:rsidR="00A26CAA" w:rsidRPr="003D07A2">
        <w:rPr>
          <w:rFonts w:cstheme="minorHAnsi"/>
        </w:rPr>
        <w:t xml:space="preserve"> </w:t>
      </w:r>
      <w:r w:rsidR="00316C27">
        <w:rPr>
          <w:rFonts w:cstheme="minorHAnsi"/>
        </w:rPr>
        <w:t>būtiska</w:t>
      </w:r>
      <w:r w:rsidR="00A26CAA" w:rsidRPr="003D07A2">
        <w:rPr>
          <w:rFonts w:cstheme="minorHAnsi"/>
        </w:rPr>
        <w:t xml:space="preserve"> nozīme ir </w:t>
      </w:r>
      <w:r w:rsidRPr="003D07A2">
        <w:rPr>
          <w:rFonts w:cstheme="minorHAnsi"/>
        </w:rPr>
        <w:t xml:space="preserve">COVID-19 inficētu pacientu ārstēšanas ieņēmumiem – kopā </w:t>
      </w:r>
      <w:r w:rsidR="00F33231">
        <w:rPr>
          <w:rFonts w:cstheme="minorHAnsi"/>
        </w:rPr>
        <w:t>445 890</w:t>
      </w:r>
      <w:r w:rsidRPr="003D07A2">
        <w:rPr>
          <w:rFonts w:cstheme="minorHAnsi"/>
        </w:rPr>
        <w:t xml:space="preserve"> euro.</w:t>
      </w:r>
    </w:p>
    <w:p w14:paraId="04309609" w14:textId="470F4DB6" w:rsidR="00520ECD" w:rsidRPr="003D07A2" w:rsidRDefault="00520ECD" w:rsidP="00FA2AE6">
      <w:pPr>
        <w:spacing w:before="100" w:beforeAutospacing="1" w:after="100" w:afterAutospacing="1"/>
        <w:jc w:val="both"/>
        <w:rPr>
          <w:rFonts w:cstheme="minorHAnsi"/>
        </w:rPr>
      </w:pPr>
      <w:r w:rsidRPr="003D07A2">
        <w:rPr>
          <w:rFonts w:cstheme="minorHAnsi"/>
        </w:rPr>
        <w:t xml:space="preserve">LM īstenotajās programmās saņemta </w:t>
      </w:r>
      <w:r w:rsidR="00073F64">
        <w:rPr>
          <w:rFonts w:cstheme="minorHAnsi"/>
        </w:rPr>
        <w:t>kompensācija</w:t>
      </w:r>
      <w:r w:rsidRPr="003D07A2">
        <w:rPr>
          <w:rFonts w:cstheme="minorHAnsi"/>
        </w:rPr>
        <w:t xml:space="preserve"> </w:t>
      </w:r>
      <w:r w:rsidR="00073F64">
        <w:rPr>
          <w:rFonts w:cstheme="minorHAnsi"/>
        </w:rPr>
        <w:t>par piemaksām darbiniekiem darbā ar COVID-19 inficētu klientu vai kontaktpersonu</w:t>
      </w:r>
      <w:r w:rsidRPr="003D07A2">
        <w:rPr>
          <w:rFonts w:cstheme="minorHAnsi"/>
        </w:rPr>
        <w:t xml:space="preserve"> </w:t>
      </w:r>
      <w:r w:rsidR="00073F64" w:rsidRPr="003D07A2">
        <w:rPr>
          <w:rFonts w:cstheme="minorHAnsi"/>
        </w:rPr>
        <w:t xml:space="preserve">bērnu sociālās rehabilitācijas programmā </w:t>
      </w:r>
      <w:r w:rsidRPr="003D07A2">
        <w:rPr>
          <w:rFonts w:cstheme="minorHAnsi"/>
        </w:rPr>
        <w:t xml:space="preserve">– </w:t>
      </w:r>
      <w:r w:rsidR="00073F64">
        <w:rPr>
          <w:rFonts w:cstheme="minorHAnsi"/>
        </w:rPr>
        <w:t>758.27</w:t>
      </w:r>
      <w:r w:rsidRPr="003D07A2">
        <w:rPr>
          <w:rFonts w:cstheme="minorHAnsi"/>
        </w:rPr>
        <w:t xml:space="preserve"> euro; </w:t>
      </w:r>
      <w:r w:rsidR="00564D0C" w:rsidRPr="003D07A2">
        <w:rPr>
          <w:rFonts w:cstheme="minorHAnsi"/>
        </w:rPr>
        <w:t xml:space="preserve">ilgstošās sociālās aprūpes un sociālās rehabilitācijas programmā </w:t>
      </w:r>
      <w:r w:rsidR="00712DD6" w:rsidRPr="003D07A2">
        <w:rPr>
          <w:rFonts w:cstheme="minorHAnsi"/>
        </w:rPr>
        <w:t xml:space="preserve">– </w:t>
      </w:r>
      <w:r w:rsidR="00073F64">
        <w:rPr>
          <w:rFonts w:cstheme="minorHAnsi"/>
        </w:rPr>
        <w:t>7749.59</w:t>
      </w:r>
      <w:r w:rsidR="00564D0C" w:rsidRPr="003D07A2">
        <w:rPr>
          <w:rFonts w:cstheme="minorHAnsi"/>
        </w:rPr>
        <w:t xml:space="preserve"> euro</w:t>
      </w:r>
      <w:r w:rsidR="00073F64">
        <w:rPr>
          <w:rFonts w:cstheme="minorHAnsi"/>
        </w:rPr>
        <w:t>, kā arī par izlietotajiem individuālās aizsardzības līdzekļiem un dezinfekcijas līdzekļiem – 3200.24 euro.</w:t>
      </w:r>
    </w:p>
    <w:p w14:paraId="56F88BCB" w14:textId="36B0D160" w:rsidR="00564D0C" w:rsidRPr="003D07A2" w:rsidRDefault="00564D0C" w:rsidP="00FA2AE6">
      <w:pPr>
        <w:spacing w:before="100" w:beforeAutospacing="1" w:after="100" w:afterAutospacing="1"/>
        <w:jc w:val="both"/>
        <w:rPr>
          <w:rFonts w:cstheme="minorHAnsi"/>
        </w:rPr>
      </w:pPr>
      <w:r w:rsidRPr="003D07A2">
        <w:rPr>
          <w:rFonts w:cstheme="minorHAnsi"/>
        </w:rPr>
        <w:t xml:space="preserve">Kopējie ieņēmumi no NVD </w:t>
      </w:r>
      <w:r w:rsidR="001629FA" w:rsidRPr="003D07A2">
        <w:rPr>
          <w:rFonts w:cstheme="minorHAnsi"/>
        </w:rPr>
        <w:t>kompensācija</w:t>
      </w:r>
      <w:r w:rsidR="00073F64">
        <w:rPr>
          <w:rFonts w:cstheme="minorHAnsi"/>
        </w:rPr>
        <w:t>s</w:t>
      </w:r>
      <w:r w:rsidR="001629FA" w:rsidRPr="003D07A2">
        <w:rPr>
          <w:rFonts w:cstheme="minorHAnsi"/>
        </w:rPr>
        <w:t xml:space="preserve"> par kapitālsabiedrības līdzekļiem </w:t>
      </w:r>
      <w:r w:rsidR="002239F0" w:rsidRPr="003D07A2">
        <w:rPr>
          <w:rFonts w:cstheme="minorHAnsi"/>
        </w:rPr>
        <w:t xml:space="preserve">iegādātajiem un </w:t>
      </w:r>
      <w:r w:rsidR="001629FA" w:rsidRPr="003D07A2">
        <w:rPr>
          <w:rFonts w:cstheme="minorHAnsi"/>
        </w:rPr>
        <w:t xml:space="preserve">izlietotajiem individuālās aizsardzības līdzekļiem </w:t>
      </w:r>
      <w:r w:rsidR="00073F64">
        <w:rPr>
          <w:rFonts w:cstheme="minorHAnsi"/>
        </w:rPr>
        <w:t>–</w:t>
      </w:r>
      <w:r w:rsidR="00F45722" w:rsidRPr="003D07A2">
        <w:rPr>
          <w:rFonts w:cstheme="minorHAnsi"/>
        </w:rPr>
        <w:t xml:space="preserve"> </w:t>
      </w:r>
      <w:r w:rsidR="00073F64">
        <w:rPr>
          <w:rFonts w:cstheme="minorHAnsi"/>
        </w:rPr>
        <w:t>112 402.96</w:t>
      </w:r>
      <w:r w:rsidR="001629FA" w:rsidRPr="003D07A2">
        <w:rPr>
          <w:rFonts w:cstheme="minorHAnsi"/>
        </w:rPr>
        <w:t xml:space="preserve"> euro; </w:t>
      </w:r>
      <w:r w:rsidR="00441AC0" w:rsidRPr="003D07A2">
        <w:rPr>
          <w:rFonts w:cstheme="minorHAnsi"/>
        </w:rPr>
        <w:t>virsstundu kompensācija par darbu COVID-19 apstākļos</w:t>
      </w:r>
      <w:r w:rsidR="001629FA" w:rsidRPr="003D07A2">
        <w:rPr>
          <w:rFonts w:cstheme="minorHAnsi"/>
        </w:rPr>
        <w:t xml:space="preserve"> – </w:t>
      </w:r>
      <w:r w:rsidR="00073F64">
        <w:rPr>
          <w:rFonts w:cstheme="minorHAnsi"/>
        </w:rPr>
        <w:t>74 960.90</w:t>
      </w:r>
      <w:r w:rsidR="001629FA" w:rsidRPr="003D07A2">
        <w:rPr>
          <w:rFonts w:cstheme="minorHAnsi"/>
        </w:rPr>
        <w:t xml:space="preserve"> euro</w:t>
      </w:r>
      <w:r w:rsidR="00441AC0" w:rsidRPr="003D07A2">
        <w:rPr>
          <w:rFonts w:cstheme="minorHAnsi"/>
        </w:rPr>
        <w:t xml:space="preserve">; piemaksas par darbu COVID-19 apstākļos </w:t>
      </w:r>
      <w:r w:rsidR="00073F64">
        <w:rPr>
          <w:rFonts w:cstheme="minorHAnsi"/>
        </w:rPr>
        <w:t>–</w:t>
      </w:r>
      <w:r w:rsidR="00F45722" w:rsidRPr="003D07A2">
        <w:rPr>
          <w:rFonts w:cstheme="minorHAnsi"/>
        </w:rPr>
        <w:t xml:space="preserve"> </w:t>
      </w:r>
      <w:r w:rsidR="00073F64">
        <w:rPr>
          <w:rFonts w:cstheme="minorHAnsi"/>
        </w:rPr>
        <w:t>319 283.89</w:t>
      </w:r>
      <w:r w:rsidR="001629FA" w:rsidRPr="003D07A2">
        <w:rPr>
          <w:rFonts w:cstheme="minorHAnsi"/>
        </w:rPr>
        <w:t xml:space="preserve"> euro</w:t>
      </w:r>
      <w:r w:rsidR="00441AC0" w:rsidRPr="003D07A2">
        <w:rPr>
          <w:rFonts w:cstheme="minorHAnsi"/>
        </w:rPr>
        <w:t xml:space="preserve">; transporta izdevumu kompensācijas par analīžu transportēšanu </w:t>
      </w:r>
      <w:r w:rsidR="001629FA" w:rsidRPr="003D07A2">
        <w:rPr>
          <w:rFonts w:cstheme="minorHAnsi"/>
        </w:rPr>
        <w:t>–</w:t>
      </w:r>
      <w:r w:rsidR="00441AC0" w:rsidRPr="003D07A2">
        <w:rPr>
          <w:rFonts w:cstheme="minorHAnsi"/>
        </w:rPr>
        <w:t xml:space="preserve"> </w:t>
      </w:r>
      <w:r w:rsidR="00073F64">
        <w:rPr>
          <w:rFonts w:cstheme="minorHAnsi"/>
        </w:rPr>
        <w:t>545.45</w:t>
      </w:r>
      <w:r w:rsidR="001629FA" w:rsidRPr="003D07A2">
        <w:rPr>
          <w:rFonts w:cstheme="minorHAnsi"/>
        </w:rPr>
        <w:t xml:space="preserve"> euro</w:t>
      </w:r>
      <w:r w:rsidR="00073F64">
        <w:rPr>
          <w:rFonts w:cstheme="minorHAnsi"/>
        </w:rPr>
        <w:t>; atvaļinājuma rezerves par 11.un 12.2020. – 9027.82 euro.</w:t>
      </w:r>
      <w:r w:rsidR="001629FA" w:rsidRPr="003D07A2">
        <w:rPr>
          <w:rFonts w:cstheme="minorHAnsi"/>
        </w:rPr>
        <w:t>.</w:t>
      </w:r>
    </w:p>
    <w:p w14:paraId="64C34A4E" w14:textId="53FDC846" w:rsidR="00CC2A17" w:rsidRPr="003D07A2" w:rsidRDefault="00260E2C" w:rsidP="00FA2AE6">
      <w:pPr>
        <w:spacing w:before="100" w:beforeAutospacing="1" w:after="100" w:afterAutospacing="1"/>
        <w:jc w:val="both"/>
        <w:rPr>
          <w:rFonts w:cstheme="minorHAnsi"/>
        </w:rPr>
      </w:pPr>
      <w:r w:rsidRPr="003D07A2">
        <w:rPr>
          <w:rFonts w:cstheme="minorHAnsi"/>
        </w:rPr>
        <w:t xml:space="preserve">Sabiedrības pārskata perioda kopējie izdevumi ir vairāk kā </w:t>
      </w:r>
      <w:r w:rsidR="00781C1D">
        <w:rPr>
          <w:rFonts w:cstheme="minorHAnsi"/>
        </w:rPr>
        <w:t>3</w:t>
      </w:r>
      <w:r w:rsidR="00B05E77" w:rsidRPr="003D07A2">
        <w:rPr>
          <w:rFonts w:cstheme="minorHAnsi"/>
        </w:rPr>
        <w:t xml:space="preserve"> </w:t>
      </w:r>
      <w:r w:rsidRPr="003D07A2">
        <w:rPr>
          <w:rFonts w:cstheme="minorHAnsi"/>
        </w:rPr>
        <w:t>miljoni euro, salīdzinot ar 20</w:t>
      </w:r>
      <w:r w:rsidR="00781C1D">
        <w:rPr>
          <w:rFonts w:cstheme="minorHAnsi"/>
        </w:rPr>
        <w:t>20</w:t>
      </w:r>
      <w:r w:rsidRPr="003D07A2">
        <w:rPr>
          <w:rFonts w:cstheme="minorHAnsi"/>
        </w:rPr>
        <w:t>.gad</w:t>
      </w:r>
      <w:r w:rsidR="00A2684F" w:rsidRPr="003D07A2">
        <w:rPr>
          <w:rFonts w:cstheme="minorHAnsi"/>
        </w:rPr>
        <w:t>u</w:t>
      </w:r>
      <w:r w:rsidRPr="003D07A2">
        <w:rPr>
          <w:rFonts w:cstheme="minorHAnsi"/>
        </w:rPr>
        <w:t xml:space="preserve">, tas ir par </w:t>
      </w:r>
      <w:r w:rsidR="00781C1D">
        <w:rPr>
          <w:rFonts w:cstheme="minorHAnsi"/>
        </w:rPr>
        <w:t>0.7</w:t>
      </w:r>
      <w:r w:rsidR="00B43CC5" w:rsidRPr="003D07A2">
        <w:rPr>
          <w:rFonts w:cstheme="minorHAnsi"/>
        </w:rPr>
        <w:t xml:space="preserve"> milj</w:t>
      </w:r>
      <w:r w:rsidRPr="003D07A2">
        <w:rPr>
          <w:rFonts w:cstheme="minorHAnsi"/>
        </w:rPr>
        <w:t xml:space="preserve"> euro vairāk, bet par </w:t>
      </w:r>
      <w:r w:rsidR="00781C1D">
        <w:rPr>
          <w:rFonts w:cstheme="minorHAnsi"/>
        </w:rPr>
        <w:t>6647</w:t>
      </w:r>
      <w:r w:rsidRPr="003D07A2">
        <w:rPr>
          <w:rFonts w:cstheme="minorHAnsi"/>
        </w:rPr>
        <w:t xml:space="preserve"> euro mazāk kā plānots.</w:t>
      </w:r>
    </w:p>
    <w:p w14:paraId="559A425C" w14:textId="77777777" w:rsidR="003D07A2" w:rsidRDefault="003D07A2" w:rsidP="00FA2AE6">
      <w:pPr>
        <w:spacing w:before="100" w:beforeAutospacing="1" w:after="100" w:afterAutospacing="1"/>
        <w:jc w:val="center"/>
        <w:rPr>
          <w:rFonts w:cstheme="minorHAnsi"/>
          <w:b/>
          <w:bCs/>
        </w:rPr>
      </w:pPr>
    </w:p>
    <w:p w14:paraId="3FAE1AED" w14:textId="77777777" w:rsidR="003D07A2" w:rsidRDefault="003D07A2" w:rsidP="00FA2AE6">
      <w:pPr>
        <w:spacing w:before="100" w:beforeAutospacing="1" w:after="100" w:afterAutospacing="1"/>
        <w:jc w:val="center"/>
        <w:rPr>
          <w:rFonts w:cstheme="minorHAnsi"/>
          <w:b/>
          <w:bCs/>
        </w:rPr>
      </w:pPr>
    </w:p>
    <w:p w14:paraId="163615BA" w14:textId="77777777" w:rsidR="003D07A2" w:rsidRDefault="003D07A2" w:rsidP="00FA2AE6">
      <w:pPr>
        <w:spacing w:before="100" w:beforeAutospacing="1" w:after="100" w:afterAutospacing="1"/>
        <w:jc w:val="center"/>
        <w:rPr>
          <w:rFonts w:cstheme="minorHAnsi"/>
          <w:b/>
          <w:bCs/>
        </w:rPr>
      </w:pPr>
    </w:p>
    <w:p w14:paraId="29C25485" w14:textId="154BC0F4" w:rsidR="007B12D7" w:rsidRPr="003D07A2" w:rsidRDefault="00587186" w:rsidP="00FA2AE6">
      <w:pPr>
        <w:spacing w:before="100" w:beforeAutospacing="1" w:after="100" w:afterAutospacing="1"/>
        <w:jc w:val="center"/>
        <w:rPr>
          <w:rFonts w:cstheme="minorHAnsi"/>
        </w:rPr>
      </w:pPr>
      <w:r w:rsidRPr="003D07A2">
        <w:rPr>
          <w:rFonts w:cstheme="minorHAnsi"/>
          <w:b/>
          <w:bCs/>
        </w:rPr>
        <w:t>Izdevumi</w:t>
      </w:r>
      <w:r w:rsidRPr="003D07A2">
        <w:rPr>
          <w:rFonts w:cstheme="minorHAnsi"/>
        </w:rPr>
        <w:t>, euro</w:t>
      </w:r>
    </w:p>
    <w:tbl>
      <w:tblPr>
        <w:tblStyle w:val="Reatabula"/>
        <w:tblW w:w="0" w:type="auto"/>
        <w:tblLook w:val="04A0" w:firstRow="1" w:lastRow="0" w:firstColumn="1" w:lastColumn="0" w:noHBand="0" w:noVBand="1"/>
      </w:tblPr>
      <w:tblGrid>
        <w:gridCol w:w="2388"/>
        <w:gridCol w:w="1155"/>
        <w:gridCol w:w="1362"/>
        <w:gridCol w:w="1327"/>
        <w:gridCol w:w="1264"/>
        <w:gridCol w:w="999"/>
      </w:tblGrid>
      <w:tr w:rsidR="00271992" w:rsidRPr="003D07A2" w14:paraId="04C8EDA7" w14:textId="77777777" w:rsidTr="00FA2AE6">
        <w:tc>
          <w:tcPr>
            <w:tcW w:w="2388" w:type="dxa"/>
            <w:vAlign w:val="center"/>
          </w:tcPr>
          <w:p w14:paraId="1F314710" w14:textId="77777777" w:rsidR="00271992" w:rsidRPr="003D07A2" w:rsidRDefault="00271992" w:rsidP="00271992">
            <w:pPr>
              <w:jc w:val="center"/>
              <w:rPr>
                <w:rFonts w:cstheme="minorHAnsi"/>
              </w:rPr>
            </w:pPr>
            <w:r w:rsidRPr="003D07A2">
              <w:rPr>
                <w:rFonts w:cstheme="minorHAnsi"/>
              </w:rPr>
              <w:t>Galvenie izdevumu veidi</w:t>
            </w:r>
          </w:p>
        </w:tc>
        <w:tc>
          <w:tcPr>
            <w:tcW w:w="1155" w:type="dxa"/>
            <w:vAlign w:val="center"/>
          </w:tcPr>
          <w:p w14:paraId="407FF4FF" w14:textId="6505583F" w:rsidR="00271992" w:rsidRPr="003D07A2" w:rsidRDefault="00271992" w:rsidP="00271992">
            <w:pPr>
              <w:jc w:val="center"/>
              <w:rPr>
                <w:rFonts w:cstheme="minorHAnsi"/>
              </w:rPr>
            </w:pPr>
            <w:r w:rsidRPr="003D07A2">
              <w:rPr>
                <w:rFonts w:cstheme="minorHAnsi"/>
              </w:rPr>
              <w:t>20</w:t>
            </w:r>
            <w:r w:rsidR="00841E84">
              <w:rPr>
                <w:rFonts w:cstheme="minorHAnsi"/>
              </w:rPr>
              <w:t>20</w:t>
            </w:r>
            <w:r w:rsidRPr="003D07A2">
              <w:rPr>
                <w:rFonts w:cstheme="minorHAnsi"/>
              </w:rPr>
              <w:t>.gads</w:t>
            </w:r>
          </w:p>
        </w:tc>
        <w:tc>
          <w:tcPr>
            <w:tcW w:w="1362" w:type="dxa"/>
            <w:vAlign w:val="center"/>
          </w:tcPr>
          <w:p w14:paraId="07E6BFB8" w14:textId="2D02E443" w:rsidR="00271992" w:rsidRPr="003D07A2" w:rsidRDefault="00271992" w:rsidP="00271992">
            <w:pPr>
              <w:jc w:val="center"/>
              <w:rPr>
                <w:rFonts w:cstheme="minorHAnsi"/>
              </w:rPr>
            </w:pPr>
            <w:r w:rsidRPr="003D07A2">
              <w:rPr>
                <w:rFonts w:cstheme="minorHAnsi"/>
              </w:rPr>
              <w:t>202</w:t>
            </w:r>
            <w:r w:rsidR="00841E84">
              <w:rPr>
                <w:rFonts w:cstheme="minorHAnsi"/>
              </w:rPr>
              <w:t>1</w:t>
            </w:r>
            <w:r w:rsidRPr="003D07A2">
              <w:rPr>
                <w:rFonts w:cstheme="minorHAnsi"/>
              </w:rPr>
              <w:t>.g.</w:t>
            </w:r>
            <w:r w:rsidR="00B44AF5" w:rsidRPr="003D07A2">
              <w:rPr>
                <w:rFonts w:cstheme="minorHAnsi"/>
              </w:rPr>
              <w:t xml:space="preserve"> </w:t>
            </w:r>
            <w:r w:rsidRPr="003D07A2">
              <w:rPr>
                <w:rFonts w:cstheme="minorHAnsi"/>
              </w:rPr>
              <w:t>plāns</w:t>
            </w:r>
          </w:p>
        </w:tc>
        <w:tc>
          <w:tcPr>
            <w:tcW w:w="1327" w:type="dxa"/>
            <w:vAlign w:val="center"/>
          </w:tcPr>
          <w:p w14:paraId="3A55AA98" w14:textId="6929C42E" w:rsidR="00271992" w:rsidRPr="003D07A2" w:rsidRDefault="00271992" w:rsidP="00271992">
            <w:pPr>
              <w:jc w:val="center"/>
              <w:rPr>
                <w:rFonts w:cstheme="minorHAnsi"/>
              </w:rPr>
            </w:pPr>
            <w:r w:rsidRPr="003D07A2">
              <w:rPr>
                <w:rFonts w:cstheme="minorHAnsi"/>
              </w:rPr>
              <w:t>202</w:t>
            </w:r>
            <w:r w:rsidR="00841E84">
              <w:rPr>
                <w:rFonts w:cstheme="minorHAnsi"/>
              </w:rPr>
              <w:t>1</w:t>
            </w:r>
            <w:r w:rsidRPr="003D07A2">
              <w:rPr>
                <w:rFonts w:cstheme="minorHAnsi"/>
              </w:rPr>
              <w:t>.g.</w:t>
            </w:r>
            <w:r w:rsidR="00B44AF5" w:rsidRPr="003D07A2">
              <w:rPr>
                <w:rFonts w:cstheme="minorHAnsi"/>
              </w:rPr>
              <w:t xml:space="preserve"> </w:t>
            </w:r>
            <w:r w:rsidRPr="003D07A2">
              <w:rPr>
                <w:rFonts w:cstheme="minorHAnsi"/>
              </w:rPr>
              <w:t>fakts</w:t>
            </w:r>
          </w:p>
        </w:tc>
        <w:tc>
          <w:tcPr>
            <w:tcW w:w="1264" w:type="dxa"/>
            <w:vAlign w:val="center"/>
          </w:tcPr>
          <w:p w14:paraId="037E5E44" w14:textId="12BE9D82" w:rsidR="00271992" w:rsidRPr="003D07A2" w:rsidRDefault="00271992" w:rsidP="00271992">
            <w:pPr>
              <w:jc w:val="center"/>
              <w:rPr>
                <w:rFonts w:cstheme="minorHAnsi"/>
              </w:rPr>
            </w:pPr>
            <w:r w:rsidRPr="003D07A2">
              <w:rPr>
                <w:rFonts w:cstheme="minorHAnsi"/>
              </w:rPr>
              <w:t>Novirze pret 20</w:t>
            </w:r>
            <w:r w:rsidR="00841E84">
              <w:rPr>
                <w:rFonts w:cstheme="minorHAnsi"/>
              </w:rPr>
              <w:t>20</w:t>
            </w:r>
            <w:r w:rsidRPr="003D07A2">
              <w:rPr>
                <w:rFonts w:cstheme="minorHAnsi"/>
              </w:rPr>
              <w:t>.g.</w:t>
            </w:r>
          </w:p>
        </w:tc>
        <w:tc>
          <w:tcPr>
            <w:tcW w:w="999" w:type="dxa"/>
            <w:vAlign w:val="center"/>
          </w:tcPr>
          <w:p w14:paraId="21F31066" w14:textId="77777777" w:rsidR="00271992" w:rsidRPr="003D07A2" w:rsidRDefault="00271992" w:rsidP="00271992">
            <w:pPr>
              <w:jc w:val="center"/>
              <w:rPr>
                <w:rFonts w:cstheme="minorHAnsi"/>
              </w:rPr>
            </w:pPr>
            <w:r w:rsidRPr="003D07A2">
              <w:rPr>
                <w:rFonts w:cstheme="minorHAnsi"/>
              </w:rPr>
              <w:t>Novirze pret plānu</w:t>
            </w:r>
          </w:p>
        </w:tc>
      </w:tr>
      <w:tr w:rsidR="00587186" w:rsidRPr="003D07A2" w14:paraId="4F7686DF" w14:textId="77777777" w:rsidTr="00FA2AE6">
        <w:tc>
          <w:tcPr>
            <w:tcW w:w="2388" w:type="dxa"/>
          </w:tcPr>
          <w:p w14:paraId="2B51D5EB" w14:textId="77777777" w:rsidR="00587186" w:rsidRPr="003D07A2" w:rsidRDefault="00587186" w:rsidP="006E37EF">
            <w:pPr>
              <w:rPr>
                <w:rFonts w:cstheme="minorHAnsi"/>
              </w:rPr>
            </w:pPr>
            <w:r w:rsidRPr="003D07A2">
              <w:rPr>
                <w:rFonts w:cstheme="minorHAnsi"/>
              </w:rPr>
              <w:t>Atalgojums</w:t>
            </w:r>
          </w:p>
        </w:tc>
        <w:tc>
          <w:tcPr>
            <w:tcW w:w="1155" w:type="dxa"/>
            <w:vAlign w:val="center"/>
          </w:tcPr>
          <w:p w14:paraId="7D885F53" w14:textId="7A79009E" w:rsidR="00587186" w:rsidRPr="003D07A2" w:rsidRDefault="00841E84" w:rsidP="00B84A7E">
            <w:pPr>
              <w:jc w:val="center"/>
              <w:rPr>
                <w:rFonts w:cstheme="minorHAnsi"/>
              </w:rPr>
            </w:pPr>
            <w:r>
              <w:rPr>
                <w:rFonts w:cstheme="minorHAnsi"/>
              </w:rPr>
              <w:t>1 518 327</w:t>
            </w:r>
          </w:p>
        </w:tc>
        <w:tc>
          <w:tcPr>
            <w:tcW w:w="1362" w:type="dxa"/>
            <w:vAlign w:val="center"/>
          </w:tcPr>
          <w:p w14:paraId="73BDF3E0" w14:textId="2B080791" w:rsidR="00587186" w:rsidRPr="003D07A2" w:rsidRDefault="00841E84" w:rsidP="00B84A7E">
            <w:pPr>
              <w:jc w:val="center"/>
              <w:rPr>
                <w:rFonts w:cstheme="minorHAnsi"/>
              </w:rPr>
            </w:pPr>
            <w:r>
              <w:rPr>
                <w:rFonts w:cstheme="minorHAnsi"/>
              </w:rPr>
              <w:t>2 080 238</w:t>
            </w:r>
          </w:p>
        </w:tc>
        <w:tc>
          <w:tcPr>
            <w:tcW w:w="1327" w:type="dxa"/>
            <w:vAlign w:val="center"/>
          </w:tcPr>
          <w:p w14:paraId="5941DAF9" w14:textId="1AFCE9B9" w:rsidR="00587186" w:rsidRPr="003D07A2" w:rsidRDefault="00841E84" w:rsidP="00B84A7E">
            <w:pPr>
              <w:jc w:val="center"/>
              <w:rPr>
                <w:rFonts w:cstheme="minorHAnsi"/>
              </w:rPr>
            </w:pPr>
            <w:r>
              <w:rPr>
                <w:rFonts w:cstheme="minorHAnsi"/>
              </w:rPr>
              <w:t>2 043 334</w:t>
            </w:r>
          </w:p>
        </w:tc>
        <w:tc>
          <w:tcPr>
            <w:tcW w:w="1264" w:type="dxa"/>
            <w:vAlign w:val="center"/>
          </w:tcPr>
          <w:p w14:paraId="4E7A7360" w14:textId="5FFA7EDF" w:rsidR="00587186" w:rsidRPr="003D07A2" w:rsidRDefault="00841E84" w:rsidP="00B84A7E">
            <w:pPr>
              <w:jc w:val="center"/>
              <w:rPr>
                <w:rFonts w:cstheme="minorHAnsi"/>
              </w:rPr>
            </w:pPr>
            <w:r>
              <w:rPr>
                <w:rFonts w:cstheme="minorHAnsi"/>
              </w:rPr>
              <w:t>+639 790</w:t>
            </w:r>
          </w:p>
        </w:tc>
        <w:tc>
          <w:tcPr>
            <w:tcW w:w="999" w:type="dxa"/>
            <w:vAlign w:val="center"/>
          </w:tcPr>
          <w:p w14:paraId="4AA8F973" w14:textId="5A7BCD77" w:rsidR="00587186" w:rsidRPr="003D07A2" w:rsidRDefault="00841E84" w:rsidP="00B84A7E">
            <w:pPr>
              <w:jc w:val="center"/>
              <w:rPr>
                <w:rFonts w:cstheme="minorHAnsi"/>
              </w:rPr>
            </w:pPr>
            <w:r>
              <w:rPr>
                <w:rFonts w:cstheme="minorHAnsi"/>
              </w:rPr>
              <w:t>-49 268</w:t>
            </w:r>
          </w:p>
        </w:tc>
      </w:tr>
      <w:tr w:rsidR="00587186" w:rsidRPr="003D07A2" w14:paraId="6AD30082" w14:textId="77777777" w:rsidTr="00FA2AE6">
        <w:tc>
          <w:tcPr>
            <w:tcW w:w="2388" w:type="dxa"/>
          </w:tcPr>
          <w:p w14:paraId="1120E78A" w14:textId="77777777" w:rsidR="00587186" w:rsidRPr="003D07A2" w:rsidRDefault="00587186" w:rsidP="006E37EF">
            <w:pPr>
              <w:rPr>
                <w:rFonts w:cstheme="minorHAnsi"/>
              </w:rPr>
            </w:pPr>
            <w:r w:rsidRPr="003D07A2">
              <w:rPr>
                <w:rFonts w:cstheme="minorHAnsi"/>
              </w:rPr>
              <w:t>Darba devēja valsts sociālās apdrošināšanas obligātās iemaksas, slimības nauda u.c.</w:t>
            </w:r>
          </w:p>
        </w:tc>
        <w:tc>
          <w:tcPr>
            <w:tcW w:w="1155" w:type="dxa"/>
            <w:vAlign w:val="center"/>
          </w:tcPr>
          <w:p w14:paraId="365F5A65" w14:textId="6E490837" w:rsidR="00587186" w:rsidRPr="003D07A2" w:rsidRDefault="00841E84" w:rsidP="00B84A7E">
            <w:pPr>
              <w:jc w:val="center"/>
              <w:rPr>
                <w:rFonts w:cstheme="minorHAnsi"/>
              </w:rPr>
            </w:pPr>
            <w:r>
              <w:rPr>
                <w:rFonts w:cstheme="minorHAnsi"/>
              </w:rPr>
              <w:t>393 861</w:t>
            </w:r>
          </w:p>
        </w:tc>
        <w:tc>
          <w:tcPr>
            <w:tcW w:w="1362" w:type="dxa"/>
            <w:vAlign w:val="center"/>
          </w:tcPr>
          <w:p w14:paraId="031BB68D" w14:textId="0A2A50D8" w:rsidR="00587186" w:rsidRPr="003D07A2" w:rsidRDefault="00841E84" w:rsidP="00B84A7E">
            <w:pPr>
              <w:jc w:val="center"/>
              <w:rPr>
                <w:rFonts w:cstheme="minorHAnsi"/>
              </w:rPr>
            </w:pPr>
            <w:r>
              <w:rPr>
                <w:rFonts w:cstheme="minorHAnsi"/>
              </w:rPr>
              <w:t>521 008</w:t>
            </w:r>
          </w:p>
        </w:tc>
        <w:tc>
          <w:tcPr>
            <w:tcW w:w="1327" w:type="dxa"/>
            <w:vAlign w:val="center"/>
          </w:tcPr>
          <w:p w14:paraId="5936FB3D" w14:textId="73220680" w:rsidR="00587186" w:rsidRPr="003D07A2" w:rsidRDefault="00841E84" w:rsidP="00B84A7E">
            <w:pPr>
              <w:jc w:val="center"/>
              <w:rPr>
                <w:rFonts w:cstheme="minorHAnsi"/>
              </w:rPr>
            </w:pPr>
            <w:r>
              <w:rPr>
                <w:rFonts w:cstheme="minorHAnsi"/>
              </w:rPr>
              <w:t>508 644</w:t>
            </w:r>
          </w:p>
        </w:tc>
        <w:tc>
          <w:tcPr>
            <w:tcW w:w="1264" w:type="dxa"/>
            <w:vAlign w:val="center"/>
          </w:tcPr>
          <w:p w14:paraId="2D513FF6" w14:textId="250AD25B" w:rsidR="00587186" w:rsidRPr="003D07A2" w:rsidRDefault="00841E84" w:rsidP="00B84A7E">
            <w:pPr>
              <w:jc w:val="center"/>
              <w:rPr>
                <w:rFonts w:cstheme="minorHAnsi"/>
              </w:rPr>
            </w:pPr>
            <w:r>
              <w:rPr>
                <w:rFonts w:cstheme="minorHAnsi"/>
              </w:rPr>
              <w:t>-114 783</w:t>
            </w:r>
          </w:p>
        </w:tc>
        <w:tc>
          <w:tcPr>
            <w:tcW w:w="999" w:type="dxa"/>
            <w:vAlign w:val="center"/>
          </w:tcPr>
          <w:p w14:paraId="210F80F5" w14:textId="770F8FB0" w:rsidR="00587186" w:rsidRPr="003D07A2" w:rsidRDefault="00841E84" w:rsidP="00B84A7E">
            <w:pPr>
              <w:jc w:val="center"/>
              <w:rPr>
                <w:rFonts w:cstheme="minorHAnsi"/>
              </w:rPr>
            </w:pPr>
            <w:r>
              <w:rPr>
                <w:rFonts w:cstheme="minorHAnsi"/>
              </w:rPr>
              <w:t>-12364</w:t>
            </w:r>
          </w:p>
        </w:tc>
      </w:tr>
      <w:tr w:rsidR="00587186" w:rsidRPr="003D07A2" w14:paraId="5819F5E3" w14:textId="77777777" w:rsidTr="00FA2AE6">
        <w:tc>
          <w:tcPr>
            <w:tcW w:w="2388" w:type="dxa"/>
          </w:tcPr>
          <w:p w14:paraId="3BC75C56" w14:textId="77777777" w:rsidR="00587186" w:rsidRPr="003D07A2" w:rsidRDefault="00587186" w:rsidP="006E37EF">
            <w:pPr>
              <w:rPr>
                <w:rFonts w:cstheme="minorHAnsi"/>
              </w:rPr>
            </w:pPr>
            <w:r w:rsidRPr="003D07A2">
              <w:rPr>
                <w:rFonts w:cstheme="minorHAnsi"/>
              </w:rPr>
              <w:t>Pakalpojumi</w:t>
            </w:r>
          </w:p>
        </w:tc>
        <w:tc>
          <w:tcPr>
            <w:tcW w:w="1155" w:type="dxa"/>
            <w:vAlign w:val="center"/>
          </w:tcPr>
          <w:p w14:paraId="6A2E124D" w14:textId="550EBCD1" w:rsidR="00587186" w:rsidRPr="003D07A2" w:rsidRDefault="00841E84" w:rsidP="00B84A7E">
            <w:pPr>
              <w:jc w:val="center"/>
              <w:rPr>
                <w:rFonts w:cstheme="minorHAnsi"/>
              </w:rPr>
            </w:pPr>
            <w:r>
              <w:rPr>
                <w:rFonts w:cstheme="minorHAnsi"/>
              </w:rPr>
              <w:t>115 561</w:t>
            </w:r>
          </w:p>
        </w:tc>
        <w:tc>
          <w:tcPr>
            <w:tcW w:w="1362" w:type="dxa"/>
            <w:vAlign w:val="center"/>
          </w:tcPr>
          <w:p w14:paraId="0481039F" w14:textId="72E16C91" w:rsidR="00587186" w:rsidRPr="003D07A2" w:rsidRDefault="00841E84" w:rsidP="00B84A7E">
            <w:pPr>
              <w:jc w:val="center"/>
              <w:rPr>
                <w:rFonts w:cstheme="minorHAnsi"/>
              </w:rPr>
            </w:pPr>
            <w:r>
              <w:rPr>
                <w:rFonts w:cstheme="minorHAnsi"/>
              </w:rPr>
              <w:t>105 343</w:t>
            </w:r>
          </w:p>
        </w:tc>
        <w:tc>
          <w:tcPr>
            <w:tcW w:w="1327" w:type="dxa"/>
            <w:vAlign w:val="center"/>
          </w:tcPr>
          <w:p w14:paraId="64749099" w14:textId="3B93A6C1" w:rsidR="00587186" w:rsidRPr="003D07A2" w:rsidRDefault="00841E84" w:rsidP="00B84A7E">
            <w:pPr>
              <w:jc w:val="center"/>
              <w:rPr>
                <w:rFonts w:cstheme="minorHAnsi"/>
              </w:rPr>
            </w:pPr>
            <w:r>
              <w:rPr>
                <w:rFonts w:cstheme="minorHAnsi"/>
              </w:rPr>
              <w:t>109 609</w:t>
            </w:r>
          </w:p>
        </w:tc>
        <w:tc>
          <w:tcPr>
            <w:tcW w:w="1264" w:type="dxa"/>
            <w:vAlign w:val="center"/>
          </w:tcPr>
          <w:p w14:paraId="66DC335E" w14:textId="5170523F" w:rsidR="00587186" w:rsidRPr="003D07A2" w:rsidRDefault="00841E84" w:rsidP="00B84A7E">
            <w:pPr>
              <w:jc w:val="center"/>
              <w:rPr>
                <w:rFonts w:cstheme="minorHAnsi"/>
              </w:rPr>
            </w:pPr>
            <w:r>
              <w:rPr>
                <w:rFonts w:cstheme="minorHAnsi"/>
              </w:rPr>
              <w:t>-5952</w:t>
            </w:r>
          </w:p>
        </w:tc>
        <w:tc>
          <w:tcPr>
            <w:tcW w:w="999" w:type="dxa"/>
            <w:vAlign w:val="center"/>
          </w:tcPr>
          <w:p w14:paraId="28AB8BAB" w14:textId="49F2F759" w:rsidR="00587186" w:rsidRPr="003D07A2" w:rsidRDefault="00841E84" w:rsidP="00B84A7E">
            <w:pPr>
              <w:jc w:val="center"/>
              <w:rPr>
                <w:rFonts w:cstheme="minorHAnsi"/>
              </w:rPr>
            </w:pPr>
            <w:r>
              <w:rPr>
                <w:rFonts w:cstheme="minorHAnsi"/>
              </w:rPr>
              <w:t>+4266</w:t>
            </w:r>
          </w:p>
        </w:tc>
      </w:tr>
      <w:tr w:rsidR="00587186" w:rsidRPr="003D07A2" w14:paraId="7362D1BC" w14:textId="77777777" w:rsidTr="00FA2AE6">
        <w:tc>
          <w:tcPr>
            <w:tcW w:w="2388" w:type="dxa"/>
          </w:tcPr>
          <w:p w14:paraId="76FAEC57" w14:textId="77777777" w:rsidR="00587186" w:rsidRPr="003D07A2" w:rsidRDefault="00587186" w:rsidP="006E37EF">
            <w:pPr>
              <w:rPr>
                <w:rFonts w:cstheme="minorHAnsi"/>
              </w:rPr>
            </w:pPr>
            <w:r w:rsidRPr="003D07A2">
              <w:rPr>
                <w:rFonts w:cstheme="minorHAnsi"/>
              </w:rPr>
              <w:t>Medikamenti, medicīnas preces, dezinfekcijas līdzekļi</w:t>
            </w:r>
          </w:p>
        </w:tc>
        <w:tc>
          <w:tcPr>
            <w:tcW w:w="1155" w:type="dxa"/>
            <w:vAlign w:val="center"/>
          </w:tcPr>
          <w:p w14:paraId="1349AE82" w14:textId="2AB1DCB6" w:rsidR="00587186" w:rsidRPr="003D07A2" w:rsidRDefault="00841E84" w:rsidP="00B84A7E">
            <w:pPr>
              <w:jc w:val="center"/>
              <w:rPr>
                <w:rFonts w:cstheme="minorHAnsi"/>
              </w:rPr>
            </w:pPr>
            <w:r>
              <w:rPr>
                <w:rFonts w:cstheme="minorHAnsi"/>
              </w:rPr>
              <w:t>49 968</w:t>
            </w:r>
          </w:p>
        </w:tc>
        <w:tc>
          <w:tcPr>
            <w:tcW w:w="1362" w:type="dxa"/>
            <w:vAlign w:val="center"/>
          </w:tcPr>
          <w:p w14:paraId="0CB87018" w14:textId="542856F9" w:rsidR="00587186" w:rsidRPr="003D07A2" w:rsidRDefault="00841E84" w:rsidP="00B84A7E">
            <w:pPr>
              <w:jc w:val="center"/>
              <w:rPr>
                <w:rFonts w:cstheme="minorHAnsi"/>
              </w:rPr>
            </w:pPr>
            <w:r>
              <w:rPr>
                <w:rFonts w:cstheme="minorHAnsi"/>
              </w:rPr>
              <w:t>107 600</w:t>
            </w:r>
          </w:p>
        </w:tc>
        <w:tc>
          <w:tcPr>
            <w:tcW w:w="1327" w:type="dxa"/>
            <w:vAlign w:val="center"/>
          </w:tcPr>
          <w:p w14:paraId="1AB10B68" w14:textId="7DCB7007" w:rsidR="00587186" w:rsidRPr="003D07A2" w:rsidRDefault="00841E84" w:rsidP="00B84A7E">
            <w:pPr>
              <w:jc w:val="center"/>
              <w:rPr>
                <w:rFonts w:cstheme="minorHAnsi"/>
              </w:rPr>
            </w:pPr>
            <w:r>
              <w:rPr>
                <w:rFonts w:cstheme="minorHAnsi"/>
              </w:rPr>
              <w:t>154 605</w:t>
            </w:r>
          </w:p>
        </w:tc>
        <w:tc>
          <w:tcPr>
            <w:tcW w:w="1264" w:type="dxa"/>
            <w:vAlign w:val="center"/>
          </w:tcPr>
          <w:p w14:paraId="150F6196" w14:textId="6198F2F9" w:rsidR="00587186" w:rsidRPr="003D07A2" w:rsidRDefault="00841E84" w:rsidP="00B84A7E">
            <w:pPr>
              <w:jc w:val="center"/>
              <w:rPr>
                <w:rFonts w:cstheme="minorHAnsi"/>
              </w:rPr>
            </w:pPr>
            <w:r>
              <w:rPr>
                <w:rFonts w:cstheme="minorHAnsi"/>
              </w:rPr>
              <w:t>+104637</w:t>
            </w:r>
          </w:p>
        </w:tc>
        <w:tc>
          <w:tcPr>
            <w:tcW w:w="999" w:type="dxa"/>
            <w:vAlign w:val="center"/>
          </w:tcPr>
          <w:p w14:paraId="0A1F71F1" w14:textId="2FB27544" w:rsidR="00587186" w:rsidRPr="003D07A2" w:rsidRDefault="00841E84" w:rsidP="00B84A7E">
            <w:pPr>
              <w:jc w:val="center"/>
              <w:rPr>
                <w:rFonts w:cstheme="minorHAnsi"/>
              </w:rPr>
            </w:pPr>
            <w:r>
              <w:rPr>
                <w:rFonts w:cstheme="minorHAnsi"/>
              </w:rPr>
              <w:t>+47005</w:t>
            </w:r>
          </w:p>
        </w:tc>
      </w:tr>
      <w:tr w:rsidR="00587186" w:rsidRPr="003D07A2" w14:paraId="70D24B67" w14:textId="77777777" w:rsidTr="00FA2AE6">
        <w:tc>
          <w:tcPr>
            <w:tcW w:w="2388" w:type="dxa"/>
          </w:tcPr>
          <w:p w14:paraId="3115196D" w14:textId="77777777" w:rsidR="00587186" w:rsidRPr="003D07A2" w:rsidRDefault="00587186" w:rsidP="006E37EF">
            <w:pPr>
              <w:rPr>
                <w:rFonts w:cstheme="minorHAnsi"/>
              </w:rPr>
            </w:pPr>
            <w:r w:rsidRPr="003D07A2">
              <w:rPr>
                <w:rFonts w:cstheme="minorHAnsi"/>
              </w:rPr>
              <w:t>Pārtikas produkti</w:t>
            </w:r>
          </w:p>
        </w:tc>
        <w:tc>
          <w:tcPr>
            <w:tcW w:w="1155" w:type="dxa"/>
            <w:vAlign w:val="center"/>
          </w:tcPr>
          <w:p w14:paraId="117D3574" w14:textId="450B8F8A" w:rsidR="00587186" w:rsidRPr="003D07A2" w:rsidRDefault="00841E84" w:rsidP="00B84A7E">
            <w:pPr>
              <w:jc w:val="center"/>
              <w:rPr>
                <w:rFonts w:cstheme="minorHAnsi"/>
              </w:rPr>
            </w:pPr>
            <w:r>
              <w:rPr>
                <w:rFonts w:cstheme="minorHAnsi"/>
              </w:rPr>
              <w:t>65 819</w:t>
            </w:r>
          </w:p>
        </w:tc>
        <w:tc>
          <w:tcPr>
            <w:tcW w:w="1362" w:type="dxa"/>
            <w:vAlign w:val="center"/>
          </w:tcPr>
          <w:p w14:paraId="0B78683A" w14:textId="5D9217DA" w:rsidR="00587186" w:rsidRPr="003D07A2" w:rsidRDefault="00841E84" w:rsidP="00B84A7E">
            <w:pPr>
              <w:jc w:val="center"/>
              <w:rPr>
                <w:rFonts w:cstheme="minorHAnsi"/>
              </w:rPr>
            </w:pPr>
            <w:r>
              <w:rPr>
                <w:rFonts w:cstheme="minorHAnsi"/>
              </w:rPr>
              <w:t>66 000</w:t>
            </w:r>
          </w:p>
        </w:tc>
        <w:tc>
          <w:tcPr>
            <w:tcW w:w="1327" w:type="dxa"/>
            <w:vAlign w:val="center"/>
          </w:tcPr>
          <w:p w14:paraId="25433EAE" w14:textId="189E105C" w:rsidR="00587186" w:rsidRPr="003D07A2" w:rsidRDefault="00841E84" w:rsidP="00B84A7E">
            <w:pPr>
              <w:jc w:val="center"/>
              <w:rPr>
                <w:rFonts w:cstheme="minorHAnsi"/>
              </w:rPr>
            </w:pPr>
            <w:r>
              <w:rPr>
                <w:rFonts w:cstheme="minorHAnsi"/>
              </w:rPr>
              <w:t>56 410</w:t>
            </w:r>
          </w:p>
        </w:tc>
        <w:tc>
          <w:tcPr>
            <w:tcW w:w="1264" w:type="dxa"/>
            <w:vAlign w:val="center"/>
          </w:tcPr>
          <w:p w14:paraId="1FC8693D" w14:textId="1504926B" w:rsidR="00587186" w:rsidRPr="003D07A2" w:rsidRDefault="00841E84" w:rsidP="00B84A7E">
            <w:pPr>
              <w:jc w:val="center"/>
              <w:rPr>
                <w:rFonts w:cstheme="minorHAnsi"/>
              </w:rPr>
            </w:pPr>
            <w:r>
              <w:rPr>
                <w:rFonts w:cstheme="minorHAnsi"/>
              </w:rPr>
              <w:t>-9409</w:t>
            </w:r>
          </w:p>
        </w:tc>
        <w:tc>
          <w:tcPr>
            <w:tcW w:w="999" w:type="dxa"/>
            <w:vAlign w:val="center"/>
          </w:tcPr>
          <w:p w14:paraId="6679FC56" w14:textId="3E60FCCE" w:rsidR="00587186" w:rsidRPr="003D07A2" w:rsidRDefault="00841E84" w:rsidP="00B84A7E">
            <w:pPr>
              <w:jc w:val="center"/>
              <w:rPr>
                <w:rFonts w:cstheme="minorHAnsi"/>
              </w:rPr>
            </w:pPr>
            <w:r>
              <w:rPr>
                <w:rFonts w:cstheme="minorHAnsi"/>
              </w:rPr>
              <w:t>-9590</w:t>
            </w:r>
          </w:p>
        </w:tc>
      </w:tr>
      <w:tr w:rsidR="00587186" w:rsidRPr="003D07A2" w14:paraId="34D0448B" w14:textId="77777777" w:rsidTr="00FA2AE6">
        <w:tc>
          <w:tcPr>
            <w:tcW w:w="2388" w:type="dxa"/>
          </w:tcPr>
          <w:p w14:paraId="4EA3984B" w14:textId="77777777" w:rsidR="00587186" w:rsidRPr="003D07A2" w:rsidRDefault="00587186" w:rsidP="006E37EF">
            <w:pPr>
              <w:rPr>
                <w:rFonts w:cstheme="minorHAnsi"/>
              </w:rPr>
            </w:pPr>
            <w:r w:rsidRPr="003D07A2">
              <w:rPr>
                <w:rFonts w:cstheme="minorHAnsi"/>
              </w:rPr>
              <w:t>Preču un materiālu iegāde</w:t>
            </w:r>
          </w:p>
        </w:tc>
        <w:tc>
          <w:tcPr>
            <w:tcW w:w="1155" w:type="dxa"/>
            <w:vAlign w:val="center"/>
          </w:tcPr>
          <w:p w14:paraId="7516420B" w14:textId="15616448" w:rsidR="00587186" w:rsidRPr="003D07A2" w:rsidRDefault="00841E84" w:rsidP="00B84A7E">
            <w:pPr>
              <w:jc w:val="center"/>
              <w:rPr>
                <w:rFonts w:cstheme="minorHAnsi"/>
              </w:rPr>
            </w:pPr>
            <w:r>
              <w:rPr>
                <w:rFonts w:cstheme="minorHAnsi"/>
              </w:rPr>
              <w:t>85 672</w:t>
            </w:r>
          </w:p>
        </w:tc>
        <w:tc>
          <w:tcPr>
            <w:tcW w:w="1362" w:type="dxa"/>
            <w:vAlign w:val="center"/>
          </w:tcPr>
          <w:p w14:paraId="71F0A72A" w14:textId="28759C04" w:rsidR="00587186" w:rsidRPr="003D07A2" w:rsidRDefault="00841E84" w:rsidP="00B84A7E">
            <w:pPr>
              <w:jc w:val="center"/>
              <w:rPr>
                <w:rFonts w:cstheme="minorHAnsi"/>
              </w:rPr>
            </w:pPr>
            <w:r>
              <w:rPr>
                <w:rFonts w:cstheme="minorHAnsi"/>
              </w:rPr>
              <w:t>88 749</w:t>
            </w:r>
          </w:p>
        </w:tc>
        <w:tc>
          <w:tcPr>
            <w:tcW w:w="1327" w:type="dxa"/>
            <w:vAlign w:val="center"/>
          </w:tcPr>
          <w:p w14:paraId="3849EA2C" w14:textId="0F1BF10D" w:rsidR="00587186" w:rsidRPr="003D07A2" w:rsidRDefault="00841E84" w:rsidP="00B84A7E">
            <w:pPr>
              <w:jc w:val="center"/>
              <w:rPr>
                <w:rFonts w:cstheme="minorHAnsi"/>
              </w:rPr>
            </w:pPr>
            <w:r>
              <w:rPr>
                <w:rFonts w:cstheme="minorHAnsi"/>
              </w:rPr>
              <w:t>88 605</w:t>
            </w:r>
          </w:p>
        </w:tc>
        <w:tc>
          <w:tcPr>
            <w:tcW w:w="1264" w:type="dxa"/>
            <w:vAlign w:val="center"/>
          </w:tcPr>
          <w:p w14:paraId="06A973D4" w14:textId="6E546D13" w:rsidR="00587186" w:rsidRPr="003D07A2" w:rsidRDefault="00841E84" w:rsidP="00B84A7E">
            <w:pPr>
              <w:jc w:val="center"/>
              <w:rPr>
                <w:rFonts w:cstheme="minorHAnsi"/>
              </w:rPr>
            </w:pPr>
            <w:r>
              <w:rPr>
                <w:rFonts w:cstheme="minorHAnsi"/>
              </w:rPr>
              <w:t>+2933</w:t>
            </w:r>
          </w:p>
        </w:tc>
        <w:tc>
          <w:tcPr>
            <w:tcW w:w="999" w:type="dxa"/>
            <w:vAlign w:val="center"/>
          </w:tcPr>
          <w:p w14:paraId="2DCD3753" w14:textId="2C0A085C" w:rsidR="00587186" w:rsidRPr="003D07A2" w:rsidRDefault="00841E84" w:rsidP="00B84A7E">
            <w:pPr>
              <w:jc w:val="center"/>
              <w:rPr>
                <w:rFonts w:cstheme="minorHAnsi"/>
              </w:rPr>
            </w:pPr>
            <w:r>
              <w:rPr>
                <w:rFonts w:cstheme="minorHAnsi"/>
              </w:rPr>
              <w:t>-144</w:t>
            </w:r>
          </w:p>
        </w:tc>
      </w:tr>
      <w:tr w:rsidR="00587186" w:rsidRPr="003D07A2" w14:paraId="5EF22AB4" w14:textId="77777777" w:rsidTr="00FA2AE6">
        <w:tc>
          <w:tcPr>
            <w:tcW w:w="2388" w:type="dxa"/>
          </w:tcPr>
          <w:p w14:paraId="34E256B9" w14:textId="77777777" w:rsidR="00587186" w:rsidRPr="003D07A2" w:rsidRDefault="00587186" w:rsidP="006E37EF">
            <w:pPr>
              <w:rPr>
                <w:rFonts w:cstheme="minorHAnsi"/>
              </w:rPr>
            </w:pPr>
            <w:r w:rsidRPr="003D07A2">
              <w:rPr>
                <w:rFonts w:cstheme="minorHAnsi"/>
              </w:rPr>
              <w:t>Ilgtermiņa ieguldījumu nolietojums</w:t>
            </w:r>
          </w:p>
        </w:tc>
        <w:tc>
          <w:tcPr>
            <w:tcW w:w="1155" w:type="dxa"/>
            <w:vAlign w:val="center"/>
          </w:tcPr>
          <w:p w14:paraId="6A25C2F5" w14:textId="551536C3" w:rsidR="00587186" w:rsidRPr="003D07A2" w:rsidRDefault="00841E84" w:rsidP="00B84A7E">
            <w:pPr>
              <w:jc w:val="center"/>
              <w:rPr>
                <w:rFonts w:cstheme="minorHAnsi"/>
              </w:rPr>
            </w:pPr>
            <w:r>
              <w:rPr>
                <w:rFonts w:cstheme="minorHAnsi"/>
              </w:rPr>
              <w:t>56 766</w:t>
            </w:r>
          </w:p>
        </w:tc>
        <w:tc>
          <w:tcPr>
            <w:tcW w:w="1362" w:type="dxa"/>
            <w:vAlign w:val="center"/>
          </w:tcPr>
          <w:p w14:paraId="45B52358" w14:textId="085182BC" w:rsidR="00587186" w:rsidRPr="003D07A2" w:rsidRDefault="00841E84" w:rsidP="00B84A7E">
            <w:pPr>
              <w:jc w:val="center"/>
              <w:rPr>
                <w:rFonts w:cstheme="minorHAnsi"/>
              </w:rPr>
            </w:pPr>
            <w:r>
              <w:rPr>
                <w:rFonts w:cstheme="minorHAnsi"/>
              </w:rPr>
              <w:t>62 784</w:t>
            </w:r>
          </w:p>
        </w:tc>
        <w:tc>
          <w:tcPr>
            <w:tcW w:w="1327" w:type="dxa"/>
            <w:vAlign w:val="center"/>
          </w:tcPr>
          <w:p w14:paraId="5119C7DA" w14:textId="5040DEEB" w:rsidR="00587186" w:rsidRPr="003D07A2" w:rsidRDefault="00841E84" w:rsidP="00B84A7E">
            <w:pPr>
              <w:jc w:val="center"/>
              <w:rPr>
                <w:rFonts w:cstheme="minorHAnsi"/>
              </w:rPr>
            </w:pPr>
            <w:r>
              <w:rPr>
                <w:rFonts w:cstheme="minorHAnsi"/>
              </w:rPr>
              <w:t>60 872</w:t>
            </w:r>
          </w:p>
        </w:tc>
        <w:tc>
          <w:tcPr>
            <w:tcW w:w="1264" w:type="dxa"/>
            <w:vAlign w:val="center"/>
          </w:tcPr>
          <w:p w14:paraId="6514CAB6" w14:textId="59864688" w:rsidR="00587186" w:rsidRPr="003D07A2" w:rsidRDefault="00841E84" w:rsidP="00B84A7E">
            <w:pPr>
              <w:jc w:val="center"/>
              <w:rPr>
                <w:rFonts w:cstheme="minorHAnsi"/>
              </w:rPr>
            </w:pPr>
            <w:r>
              <w:rPr>
                <w:rFonts w:cstheme="minorHAnsi"/>
              </w:rPr>
              <w:t>+4106</w:t>
            </w:r>
          </w:p>
        </w:tc>
        <w:tc>
          <w:tcPr>
            <w:tcW w:w="999" w:type="dxa"/>
            <w:vAlign w:val="center"/>
          </w:tcPr>
          <w:p w14:paraId="69B1A41F" w14:textId="68FDA006" w:rsidR="00587186" w:rsidRPr="003D07A2" w:rsidRDefault="00841E84" w:rsidP="00B84A7E">
            <w:pPr>
              <w:jc w:val="center"/>
              <w:rPr>
                <w:rFonts w:cstheme="minorHAnsi"/>
              </w:rPr>
            </w:pPr>
            <w:r>
              <w:rPr>
                <w:rFonts w:cstheme="minorHAnsi"/>
              </w:rPr>
              <w:t>-1912</w:t>
            </w:r>
          </w:p>
        </w:tc>
      </w:tr>
    </w:tbl>
    <w:p w14:paraId="0D0A09DA" w14:textId="54FEBD06" w:rsidR="003D5327" w:rsidRPr="003D07A2" w:rsidRDefault="003D5327" w:rsidP="00FA2AE6">
      <w:pPr>
        <w:spacing w:before="100" w:beforeAutospacing="1" w:after="100" w:afterAutospacing="1"/>
        <w:jc w:val="both"/>
        <w:rPr>
          <w:rFonts w:cstheme="minorHAnsi"/>
        </w:rPr>
      </w:pPr>
      <w:r w:rsidRPr="003D07A2">
        <w:rPr>
          <w:rFonts w:cstheme="minorHAnsi"/>
        </w:rPr>
        <w:t>202</w:t>
      </w:r>
      <w:r w:rsidR="008558D6">
        <w:rPr>
          <w:rFonts w:cstheme="minorHAnsi"/>
        </w:rPr>
        <w:t>1</w:t>
      </w:r>
      <w:r w:rsidRPr="003D07A2">
        <w:rPr>
          <w:rFonts w:cstheme="minorHAnsi"/>
        </w:rPr>
        <w:t>.gad</w:t>
      </w:r>
      <w:r w:rsidR="00606377" w:rsidRPr="003D07A2">
        <w:rPr>
          <w:rFonts w:cstheme="minorHAnsi"/>
        </w:rPr>
        <w:t>ā</w:t>
      </w:r>
      <w:r w:rsidR="008558D6">
        <w:rPr>
          <w:rFonts w:cstheme="minorHAnsi"/>
        </w:rPr>
        <w:t>, tāpat kā 2020.gadā,</w:t>
      </w:r>
      <w:r w:rsidRPr="003D07A2">
        <w:rPr>
          <w:rFonts w:cstheme="minorHAnsi"/>
        </w:rPr>
        <w:t xml:space="preserve"> būtiski pieaudzis atalgojums veselības aprūpes</w:t>
      </w:r>
      <w:r w:rsidR="00606377" w:rsidRPr="003D07A2">
        <w:rPr>
          <w:rFonts w:cstheme="minorHAnsi"/>
        </w:rPr>
        <w:t xml:space="preserve"> </w:t>
      </w:r>
      <w:r w:rsidRPr="003D07A2">
        <w:rPr>
          <w:rFonts w:cstheme="minorHAnsi"/>
        </w:rPr>
        <w:t>nodarbinātajiem, uzņēmuma faktiskajos izdevumos tā īpatsvars ir 6</w:t>
      </w:r>
      <w:r w:rsidR="008558D6">
        <w:rPr>
          <w:rFonts w:cstheme="minorHAnsi"/>
        </w:rPr>
        <w:t>7</w:t>
      </w:r>
      <w:r w:rsidRPr="003D07A2">
        <w:rPr>
          <w:rFonts w:cstheme="minorHAnsi"/>
        </w:rPr>
        <w:t>%, 2019.gada salīdzināmajā periodā -</w:t>
      </w:r>
      <w:r w:rsidR="00F45722" w:rsidRPr="003D07A2">
        <w:rPr>
          <w:rFonts w:cstheme="minorHAnsi"/>
        </w:rPr>
        <w:t xml:space="preserve"> </w:t>
      </w:r>
      <w:r w:rsidRPr="003D07A2">
        <w:rPr>
          <w:rFonts w:cstheme="minorHAnsi"/>
        </w:rPr>
        <w:t>64</w:t>
      </w:r>
      <w:r w:rsidR="00563197" w:rsidRPr="003D07A2">
        <w:rPr>
          <w:rFonts w:cstheme="minorHAnsi"/>
        </w:rPr>
        <w:t>.</w:t>
      </w:r>
      <w:r w:rsidR="00B74136" w:rsidRPr="003D07A2">
        <w:rPr>
          <w:rFonts w:cstheme="minorHAnsi"/>
        </w:rPr>
        <w:t>4</w:t>
      </w:r>
      <w:r w:rsidRPr="003D07A2">
        <w:rPr>
          <w:rFonts w:cstheme="minorHAnsi"/>
        </w:rPr>
        <w:t xml:space="preserve">%. </w:t>
      </w:r>
    </w:p>
    <w:p w14:paraId="55289AFA" w14:textId="6BBF3528" w:rsidR="001D2AFE" w:rsidRPr="003D07A2" w:rsidRDefault="001D2AFE" w:rsidP="00FA2AE6">
      <w:pPr>
        <w:spacing w:before="100" w:beforeAutospacing="1" w:after="100" w:afterAutospacing="1"/>
        <w:jc w:val="both"/>
        <w:rPr>
          <w:rFonts w:cstheme="minorHAnsi"/>
        </w:rPr>
      </w:pPr>
      <w:r w:rsidRPr="003D07A2">
        <w:rPr>
          <w:rFonts w:cstheme="minorHAnsi"/>
        </w:rPr>
        <w:t xml:space="preserve">Sabiedrības pārskata perioda saimnieciskās darbības rezultāts ir </w:t>
      </w:r>
      <w:r w:rsidR="00B74136" w:rsidRPr="003D07A2">
        <w:rPr>
          <w:rFonts w:cstheme="minorHAnsi"/>
        </w:rPr>
        <w:t>peļņa</w:t>
      </w:r>
      <w:r w:rsidRPr="003D07A2">
        <w:rPr>
          <w:rFonts w:cstheme="minorHAnsi"/>
        </w:rPr>
        <w:t xml:space="preserve"> </w:t>
      </w:r>
      <w:r w:rsidR="008558D6">
        <w:rPr>
          <w:rFonts w:cstheme="minorHAnsi"/>
        </w:rPr>
        <w:t>168 261</w:t>
      </w:r>
      <w:r w:rsidRPr="003D07A2">
        <w:rPr>
          <w:rFonts w:cstheme="minorHAnsi"/>
        </w:rPr>
        <w:t xml:space="preserve"> euro apmērā, 20</w:t>
      </w:r>
      <w:r w:rsidR="008558D6">
        <w:rPr>
          <w:rFonts w:cstheme="minorHAnsi"/>
        </w:rPr>
        <w:t>20</w:t>
      </w:r>
      <w:r w:rsidRPr="003D07A2">
        <w:rPr>
          <w:rFonts w:cstheme="minorHAnsi"/>
        </w:rPr>
        <w:t>.gad</w:t>
      </w:r>
      <w:r w:rsidR="00B74136" w:rsidRPr="003D07A2">
        <w:rPr>
          <w:rFonts w:cstheme="minorHAnsi"/>
        </w:rPr>
        <w:t>ā</w:t>
      </w:r>
      <w:r w:rsidRPr="003D07A2">
        <w:rPr>
          <w:rFonts w:cstheme="minorHAnsi"/>
        </w:rPr>
        <w:t xml:space="preserve"> peļņa </w:t>
      </w:r>
      <w:r w:rsidR="008558D6">
        <w:rPr>
          <w:rFonts w:cstheme="minorHAnsi"/>
        </w:rPr>
        <w:t xml:space="preserve">ir 67 449 </w:t>
      </w:r>
      <w:r w:rsidRPr="003D07A2">
        <w:rPr>
          <w:rFonts w:cstheme="minorHAnsi"/>
        </w:rPr>
        <w:t xml:space="preserve">euro, bet plāns – peļņa </w:t>
      </w:r>
      <w:r w:rsidR="008558D6">
        <w:rPr>
          <w:rFonts w:cstheme="minorHAnsi"/>
        </w:rPr>
        <w:t>833</w:t>
      </w:r>
      <w:r w:rsidRPr="003D07A2">
        <w:rPr>
          <w:rFonts w:cstheme="minorHAnsi"/>
        </w:rPr>
        <w:t xml:space="preserve"> euro.</w:t>
      </w:r>
    </w:p>
    <w:p w14:paraId="11CE5E29" w14:textId="28119E0E" w:rsidR="00B74136" w:rsidRPr="003D07A2" w:rsidRDefault="00B74136" w:rsidP="00FA2AE6">
      <w:pPr>
        <w:spacing w:before="100" w:beforeAutospacing="1" w:after="100" w:afterAutospacing="1"/>
        <w:jc w:val="both"/>
        <w:rPr>
          <w:rFonts w:cstheme="minorHAnsi"/>
        </w:rPr>
      </w:pPr>
      <w:r w:rsidRPr="003D07A2">
        <w:rPr>
          <w:rFonts w:cstheme="minorHAnsi"/>
        </w:rPr>
        <w:t>Salīdzinot 202</w:t>
      </w:r>
      <w:r w:rsidR="008558D6">
        <w:rPr>
          <w:rFonts w:cstheme="minorHAnsi"/>
        </w:rPr>
        <w:t>1</w:t>
      </w:r>
      <w:r w:rsidRPr="003D07A2">
        <w:rPr>
          <w:rFonts w:cstheme="minorHAnsi"/>
        </w:rPr>
        <w:t xml:space="preserve">.gadu ar iepriekšējo periodu, var secināt, ka nav būtiskas novirzes bruto pelņas rādītājā </w:t>
      </w:r>
      <w:r w:rsidR="00A34111" w:rsidRPr="003D07A2">
        <w:rPr>
          <w:rFonts w:cstheme="minorHAnsi"/>
        </w:rPr>
        <w:t>(</w:t>
      </w:r>
      <w:r w:rsidRPr="003D07A2">
        <w:rPr>
          <w:rFonts w:cstheme="minorHAnsi"/>
        </w:rPr>
        <w:t xml:space="preserve"> 202</w:t>
      </w:r>
      <w:r w:rsidR="008558D6">
        <w:rPr>
          <w:rFonts w:cstheme="minorHAnsi"/>
        </w:rPr>
        <w:t>1</w:t>
      </w:r>
      <w:r w:rsidRPr="003D07A2">
        <w:rPr>
          <w:rFonts w:cstheme="minorHAnsi"/>
        </w:rPr>
        <w:t xml:space="preserve">.gadā </w:t>
      </w:r>
      <w:r w:rsidR="008558D6">
        <w:rPr>
          <w:rFonts w:cstheme="minorHAnsi"/>
        </w:rPr>
        <w:t>187 215</w:t>
      </w:r>
      <w:r w:rsidRPr="003D07A2">
        <w:rPr>
          <w:rFonts w:cstheme="minorHAnsi"/>
        </w:rPr>
        <w:t xml:space="preserve"> euro, 20</w:t>
      </w:r>
      <w:r w:rsidR="008558D6">
        <w:rPr>
          <w:rFonts w:cstheme="minorHAnsi"/>
        </w:rPr>
        <w:t>20</w:t>
      </w:r>
      <w:r w:rsidRPr="003D07A2">
        <w:rPr>
          <w:rFonts w:cstheme="minorHAnsi"/>
        </w:rPr>
        <w:t xml:space="preserve">.gadā </w:t>
      </w:r>
      <w:r w:rsidR="008558D6">
        <w:rPr>
          <w:rFonts w:cstheme="minorHAnsi"/>
        </w:rPr>
        <w:t>195 149</w:t>
      </w:r>
      <w:r w:rsidR="00A34111" w:rsidRPr="003D07A2">
        <w:rPr>
          <w:rFonts w:cstheme="minorHAnsi"/>
        </w:rPr>
        <w:t xml:space="preserve"> euro).</w:t>
      </w:r>
    </w:p>
    <w:p w14:paraId="38067670" w14:textId="1933BDF7" w:rsidR="005F5952" w:rsidRPr="003D07A2" w:rsidRDefault="005F5952" w:rsidP="00FA2AE6">
      <w:pPr>
        <w:spacing w:before="100" w:beforeAutospacing="1" w:after="100" w:afterAutospacing="1"/>
        <w:jc w:val="both"/>
        <w:rPr>
          <w:rFonts w:cstheme="minorHAnsi"/>
        </w:rPr>
      </w:pPr>
      <w:r w:rsidRPr="003D07A2">
        <w:rPr>
          <w:rFonts w:cstheme="minorHAnsi"/>
        </w:rPr>
        <w:t xml:space="preserve">Sabiedrības naudas plūsmā naudas līdzekļu atlikums pārskata perioda beigās </w:t>
      </w:r>
      <w:r w:rsidR="00B23D81">
        <w:rPr>
          <w:rFonts w:cstheme="minorHAnsi"/>
        </w:rPr>
        <w:t>palielinājies</w:t>
      </w:r>
      <w:r w:rsidRPr="003D07A2">
        <w:rPr>
          <w:rFonts w:cstheme="minorHAnsi"/>
        </w:rPr>
        <w:t xml:space="preserve"> par </w:t>
      </w:r>
      <w:r w:rsidR="00B23D81">
        <w:rPr>
          <w:rFonts w:cstheme="minorHAnsi"/>
        </w:rPr>
        <w:t>122 877</w:t>
      </w:r>
      <w:r w:rsidR="002E41B5" w:rsidRPr="003D07A2">
        <w:rPr>
          <w:rFonts w:cstheme="minorHAnsi"/>
        </w:rPr>
        <w:t xml:space="preserve"> </w:t>
      </w:r>
      <w:r w:rsidRPr="003D07A2">
        <w:rPr>
          <w:rFonts w:cstheme="minorHAnsi"/>
        </w:rPr>
        <w:t xml:space="preserve">euro , salīdzinot ar </w:t>
      </w:r>
      <w:r w:rsidR="00AB5B66" w:rsidRPr="003D07A2">
        <w:rPr>
          <w:rFonts w:cstheme="minorHAnsi"/>
        </w:rPr>
        <w:t>202</w:t>
      </w:r>
      <w:r w:rsidR="00B23D81">
        <w:rPr>
          <w:rFonts w:cstheme="minorHAnsi"/>
        </w:rPr>
        <w:t>1</w:t>
      </w:r>
      <w:r w:rsidR="00AB5B66" w:rsidRPr="003D07A2">
        <w:rPr>
          <w:rFonts w:cstheme="minorHAnsi"/>
        </w:rPr>
        <w:t>.gada</w:t>
      </w:r>
      <w:r w:rsidRPr="003D07A2">
        <w:rPr>
          <w:rFonts w:cstheme="minorHAnsi"/>
        </w:rPr>
        <w:t xml:space="preserve"> sākumu, bet pret plānu novirze par </w:t>
      </w:r>
      <w:r w:rsidR="00B23D81">
        <w:rPr>
          <w:rFonts w:cstheme="minorHAnsi"/>
        </w:rPr>
        <w:t>154 862</w:t>
      </w:r>
      <w:r w:rsidRPr="003D07A2">
        <w:rPr>
          <w:rFonts w:cstheme="minorHAnsi"/>
        </w:rPr>
        <w:t xml:space="preserve"> euro (plānots </w:t>
      </w:r>
      <w:r w:rsidR="00B23D81">
        <w:rPr>
          <w:rFonts w:cstheme="minorHAnsi"/>
        </w:rPr>
        <w:t xml:space="preserve">1 272 885 </w:t>
      </w:r>
      <w:r w:rsidRPr="003D07A2">
        <w:rPr>
          <w:rFonts w:cstheme="minorHAnsi"/>
        </w:rPr>
        <w:t>euro)</w:t>
      </w:r>
      <w:r w:rsidR="002E41B5" w:rsidRPr="003D07A2">
        <w:rPr>
          <w:rFonts w:cstheme="minorHAnsi"/>
        </w:rPr>
        <w:t>.</w:t>
      </w:r>
      <w:r w:rsidR="00520EE7">
        <w:rPr>
          <w:rFonts w:cstheme="minorHAnsi"/>
        </w:rPr>
        <w:t xml:space="preserve"> Salīdzinot ar 2020.gaada pārskata periodu būtiski pieauguši debitoru parādi (+707 475  euro), ko pamatā veido norēķini ar NVD par sniegtajiem veselības aprūpes pakalpojumiem un aprēķinātie kompensācijas maksājumi.</w:t>
      </w:r>
    </w:p>
    <w:p w14:paraId="6AFA8B50" w14:textId="3929B176" w:rsidR="005F5952" w:rsidRPr="003D07A2" w:rsidRDefault="005F5952" w:rsidP="00FA2AE6">
      <w:pPr>
        <w:spacing w:before="100" w:beforeAutospacing="1" w:after="100" w:afterAutospacing="1"/>
        <w:jc w:val="both"/>
        <w:rPr>
          <w:rFonts w:cstheme="minorHAnsi"/>
        </w:rPr>
      </w:pPr>
      <w:r w:rsidRPr="003D07A2">
        <w:rPr>
          <w:rFonts w:cstheme="minorHAnsi"/>
        </w:rPr>
        <w:t>Plānot</w:t>
      </w:r>
      <w:r w:rsidR="00C35EA7" w:rsidRPr="003D07A2">
        <w:rPr>
          <w:rFonts w:cstheme="minorHAnsi"/>
        </w:rPr>
        <w:t>ais</w:t>
      </w:r>
      <w:r w:rsidRPr="003D07A2">
        <w:rPr>
          <w:rFonts w:cstheme="minorHAnsi"/>
        </w:rPr>
        <w:t xml:space="preserve"> kopēj</w:t>
      </w:r>
      <w:r w:rsidR="00C35EA7" w:rsidRPr="003D07A2">
        <w:rPr>
          <w:rFonts w:cstheme="minorHAnsi"/>
        </w:rPr>
        <w:t xml:space="preserve">ais </w:t>
      </w:r>
      <w:r w:rsidRPr="003D07A2">
        <w:rPr>
          <w:rFonts w:cstheme="minorHAnsi"/>
        </w:rPr>
        <w:t>likviditāte</w:t>
      </w:r>
      <w:r w:rsidR="00C35EA7" w:rsidRPr="003D07A2">
        <w:rPr>
          <w:rFonts w:cstheme="minorHAnsi"/>
        </w:rPr>
        <w:t>s rādītājs</w:t>
      </w:r>
      <w:r w:rsidRPr="003D07A2">
        <w:rPr>
          <w:rFonts w:cstheme="minorHAnsi"/>
        </w:rPr>
        <w:t xml:space="preserve"> pārskata periodā ir</w:t>
      </w:r>
      <w:r w:rsidR="00C06C05" w:rsidRPr="003D07A2">
        <w:rPr>
          <w:rFonts w:cstheme="minorHAnsi"/>
        </w:rPr>
        <w:t xml:space="preserve"> </w:t>
      </w:r>
      <w:r w:rsidR="00520EE7">
        <w:rPr>
          <w:rFonts w:cstheme="minorHAnsi"/>
        </w:rPr>
        <w:t>1.14</w:t>
      </w:r>
      <w:r w:rsidRPr="003D07A2">
        <w:rPr>
          <w:rFonts w:cstheme="minorHAnsi"/>
        </w:rPr>
        <w:t xml:space="preserve">, </w:t>
      </w:r>
      <w:r w:rsidR="00C35EA7" w:rsidRPr="003D07A2">
        <w:rPr>
          <w:rFonts w:cstheme="minorHAnsi"/>
        </w:rPr>
        <w:t>20</w:t>
      </w:r>
      <w:r w:rsidR="00520EE7">
        <w:rPr>
          <w:rFonts w:cstheme="minorHAnsi"/>
        </w:rPr>
        <w:t>20</w:t>
      </w:r>
      <w:r w:rsidR="00C35EA7" w:rsidRPr="003D07A2">
        <w:rPr>
          <w:rFonts w:cstheme="minorHAnsi"/>
        </w:rPr>
        <w:t>.gad</w:t>
      </w:r>
      <w:r w:rsidR="00A1190D" w:rsidRPr="003D07A2">
        <w:rPr>
          <w:rFonts w:cstheme="minorHAnsi"/>
        </w:rPr>
        <w:t>ā</w:t>
      </w:r>
      <w:r w:rsidR="00C35EA7" w:rsidRPr="003D07A2">
        <w:rPr>
          <w:rFonts w:cstheme="minorHAnsi"/>
        </w:rPr>
        <w:t xml:space="preserve"> – 1.</w:t>
      </w:r>
      <w:r w:rsidR="005F2442" w:rsidRPr="003D07A2">
        <w:rPr>
          <w:rFonts w:cstheme="minorHAnsi"/>
        </w:rPr>
        <w:t>1</w:t>
      </w:r>
      <w:r w:rsidR="00520EE7">
        <w:rPr>
          <w:rFonts w:cstheme="minorHAnsi"/>
        </w:rPr>
        <w:t>6</w:t>
      </w:r>
      <w:r w:rsidR="00C35EA7" w:rsidRPr="003D07A2">
        <w:rPr>
          <w:rFonts w:cstheme="minorHAnsi"/>
        </w:rPr>
        <w:t xml:space="preserve">, pārskata periodā </w:t>
      </w:r>
      <w:r w:rsidRPr="003D07A2">
        <w:rPr>
          <w:rFonts w:cstheme="minorHAnsi"/>
        </w:rPr>
        <w:t xml:space="preserve">faktiski </w:t>
      </w:r>
      <w:r w:rsidR="00C35EA7" w:rsidRPr="003D07A2">
        <w:rPr>
          <w:rFonts w:cstheme="minorHAnsi"/>
        </w:rPr>
        <w:t>–</w:t>
      </w:r>
      <w:r w:rsidRPr="003D07A2">
        <w:rPr>
          <w:rFonts w:cstheme="minorHAnsi"/>
        </w:rPr>
        <w:t xml:space="preserve"> </w:t>
      </w:r>
      <w:r w:rsidR="00A1190D" w:rsidRPr="003D07A2">
        <w:rPr>
          <w:rFonts w:cstheme="minorHAnsi"/>
        </w:rPr>
        <w:t>1.</w:t>
      </w:r>
      <w:r w:rsidR="00520EE7">
        <w:rPr>
          <w:rFonts w:cstheme="minorHAnsi"/>
        </w:rPr>
        <w:t>44</w:t>
      </w:r>
      <w:r w:rsidR="00C35EA7" w:rsidRPr="003D07A2">
        <w:rPr>
          <w:rFonts w:cstheme="minorHAnsi"/>
        </w:rPr>
        <w:t xml:space="preserve">. Likviditāti ietekmē gan apgrozāmo līdzekļu </w:t>
      </w:r>
      <w:r w:rsidR="00A1190D" w:rsidRPr="003D07A2">
        <w:rPr>
          <w:rFonts w:cstheme="minorHAnsi"/>
        </w:rPr>
        <w:t>palielinājums</w:t>
      </w:r>
      <w:r w:rsidR="00C35EA7" w:rsidRPr="003D07A2">
        <w:rPr>
          <w:rFonts w:cstheme="minorHAnsi"/>
        </w:rPr>
        <w:t xml:space="preserve"> (debitori,</w:t>
      </w:r>
      <w:r w:rsidR="00A1190D" w:rsidRPr="003D07A2">
        <w:rPr>
          <w:rFonts w:cstheme="minorHAnsi"/>
        </w:rPr>
        <w:t xml:space="preserve"> krājumi</w:t>
      </w:r>
      <w:r w:rsidR="00C35EA7" w:rsidRPr="003D07A2">
        <w:rPr>
          <w:rFonts w:cstheme="minorHAnsi"/>
        </w:rPr>
        <w:t>), gan īstermiņa kreditoru pieaugums (</w:t>
      </w:r>
      <w:r w:rsidR="00A1190D" w:rsidRPr="003D07A2">
        <w:rPr>
          <w:rFonts w:cstheme="minorHAnsi"/>
        </w:rPr>
        <w:t xml:space="preserve">saistības pret personālu par darba samaksu </w:t>
      </w:r>
      <w:r w:rsidR="00520EE7">
        <w:rPr>
          <w:rFonts w:cstheme="minorHAnsi"/>
        </w:rPr>
        <w:t>03.2021</w:t>
      </w:r>
      <w:r w:rsidR="00A1190D" w:rsidRPr="003D07A2">
        <w:rPr>
          <w:rFonts w:cstheme="minorHAnsi"/>
        </w:rPr>
        <w:t xml:space="preserve">., </w:t>
      </w:r>
      <w:r w:rsidR="00C35EA7" w:rsidRPr="003D07A2">
        <w:rPr>
          <w:rFonts w:cstheme="minorHAnsi"/>
        </w:rPr>
        <w:t>nodokļ</w:t>
      </w:r>
      <w:r w:rsidR="00A1190D" w:rsidRPr="003D07A2">
        <w:rPr>
          <w:rFonts w:cstheme="minorHAnsi"/>
        </w:rPr>
        <w:t>i no darba samaksas</w:t>
      </w:r>
      <w:r w:rsidR="00C35EA7" w:rsidRPr="003D07A2">
        <w:rPr>
          <w:rFonts w:cstheme="minorHAnsi"/>
        </w:rPr>
        <w:t>, parādi piegādātājiem).</w:t>
      </w:r>
    </w:p>
    <w:p w14:paraId="675CC5CD" w14:textId="77777777" w:rsidR="00D21AA3" w:rsidRDefault="00D21AA3" w:rsidP="008D79D0">
      <w:pPr>
        <w:spacing w:after="0"/>
        <w:rPr>
          <w:rFonts w:cstheme="minorHAnsi"/>
          <w:b/>
          <w:bCs/>
        </w:rPr>
      </w:pPr>
    </w:p>
    <w:p w14:paraId="150E0123" w14:textId="77777777" w:rsidR="00D21AA3" w:rsidRDefault="00D21AA3" w:rsidP="008D79D0">
      <w:pPr>
        <w:spacing w:after="0"/>
        <w:rPr>
          <w:rFonts w:cstheme="minorHAnsi"/>
          <w:b/>
          <w:bCs/>
        </w:rPr>
      </w:pPr>
    </w:p>
    <w:p w14:paraId="3BA4F56B" w14:textId="77777777" w:rsidR="00D21AA3" w:rsidRDefault="00D21AA3" w:rsidP="008D79D0">
      <w:pPr>
        <w:spacing w:after="0"/>
        <w:rPr>
          <w:rFonts w:cstheme="minorHAnsi"/>
          <w:b/>
          <w:bCs/>
        </w:rPr>
      </w:pPr>
    </w:p>
    <w:p w14:paraId="23FCACCB" w14:textId="77777777" w:rsidR="00D21AA3" w:rsidRDefault="00D21AA3" w:rsidP="008D79D0">
      <w:pPr>
        <w:spacing w:after="0"/>
        <w:rPr>
          <w:rFonts w:cstheme="minorHAnsi"/>
          <w:b/>
          <w:bCs/>
        </w:rPr>
      </w:pPr>
    </w:p>
    <w:p w14:paraId="05F42F1E" w14:textId="77777777" w:rsidR="00D21AA3" w:rsidRDefault="00D21AA3" w:rsidP="008D79D0">
      <w:pPr>
        <w:spacing w:after="0"/>
        <w:rPr>
          <w:rFonts w:cstheme="minorHAnsi"/>
          <w:b/>
          <w:bCs/>
        </w:rPr>
      </w:pPr>
    </w:p>
    <w:p w14:paraId="01CACA35" w14:textId="77777777" w:rsidR="00D21AA3" w:rsidRDefault="00D21AA3" w:rsidP="008D79D0">
      <w:pPr>
        <w:spacing w:after="0"/>
        <w:rPr>
          <w:rFonts w:cstheme="minorHAnsi"/>
          <w:b/>
          <w:bCs/>
        </w:rPr>
      </w:pPr>
    </w:p>
    <w:p w14:paraId="56864F2D" w14:textId="77777777" w:rsidR="00D21AA3" w:rsidRDefault="00D21AA3" w:rsidP="008D79D0">
      <w:pPr>
        <w:spacing w:after="0"/>
        <w:rPr>
          <w:rFonts w:cstheme="minorHAnsi"/>
          <w:b/>
          <w:bCs/>
        </w:rPr>
      </w:pPr>
    </w:p>
    <w:p w14:paraId="659FBE8B" w14:textId="77777777" w:rsidR="00D21AA3" w:rsidRDefault="00D21AA3" w:rsidP="008D79D0">
      <w:pPr>
        <w:spacing w:after="0"/>
        <w:rPr>
          <w:rFonts w:cstheme="minorHAnsi"/>
          <w:b/>
          <w:bCs/>
        </w:rPr>
      </w:pPr>
    </w:p>
    <w:p w14:paraId="3FB3132D" w14:textId="79985FCA" w:rsidR="008D79D0" w:rsidRPr="003D07A2" w:rsidRDefault="008D79D0" w:rsidP="008D79D0">
      <w:pPr>
        <w:spacing w:after="0"/>
        <w:rPr>
          <w:rFonts w:cstheme="minorHAnsi"/>
          <w:b/>
          <w:bCs/>
        </w:rPr>
      </w:pPr>
      <w:r w:rsidRPr="003D07A2">
        <w:rPr>
          <w:rFonts w:cstheme="minorHAnsi"/>
          <w:b/>
          <w:bCs/>
        </w:rPr>
        <w:t>Ieguldījumi Sabiedrības infrastruktūrā</w:t>
      </w:r>
    </w:p>
    <w:p w14:paraId="44614486" w14:textId="455EEA60" w:rsidR="00B63C01" w:rsidRPr="003D07A2" w:rsidRDefault="00B63C01" w:rsidP="00FA2AE6">
      <w:pPr>
        <w:spacing w:before="100" w:beforeAutospacing="1" w:after="100" w:afterAutospacing="1"/>
        <w:jc w:val="both"/>
        <w:rPr>
          <w:rFonts w:cstheme="minorHAnsi"/>
        </w:rPr>
      </w:pPr>
      <w:r w:rsidRPr="003D07A2">
        <w:rPr>
          <w:rFonts w:cstheme="minorHAnsi"/>
        </w:rPr>
        <w:t xml:space="preserve">Kopā Sabiedrība pārskata periodā ir veikusi ilgtermiņa ieguldījumus </w:t>
      </w:r>
      <w:r w:rsidR="00D21AA3">
        <w:rPr>
          <w:rFonts w:cstheme="minorHAnsi"/>
        </w:rPr>
        <w:t>66 106</w:t>
      </w:r>
      <w:r w:rsidRPr="003D07A2">
        <w:rPr>
          <w:rFonts w:cstheme="minorHAnsi"/>
        </w:rPr>
        <w:t xml:space="preserve"> euro apmērā (saskaņā ar naudas plūsmu)</w:t>
      </w:r>
      <w:r w:rsidR="00F84287" w:rsidRPr="003D07A2">
        <w:rPr>
          <w:rFonts w:cstheme="minorHAnsi"/>
        </w:rPr>
        <w:t xml:space="preserve">, tai skaitā </w:t>
      </w:r>
      <w:r w:rsidR="00D21AA3">
        <w:rPr>
          <w:rFonts w:cstheme="minorHAnsi"/>
        </w:rPr>
        <w:t>rekonstruēta sporta zāles grīda 22 990 euro apmērā.</w:t>
      </w:r>
    </w:p>
    <w:p w14:paraId="142603B1" w14:textId="44F23761" w:rsidR="007B12D7" w:rsidRPr="003D07A2" w:rsidRDefault="00B63C01" w:rsidP="00FA2AE6">
      <w:pPr>
        <w:spacing w:before="100" w:beforeAutospacing="1" w:after="100" w:afterAutospacing="1"/>
        <w:jc w:val="center"/>
        <w:rPr>
          <w:rFonts w:cstheme="minorHAnsi"/>
        </w:rPr>
      </w:pPr>
      <w:r w:rsidRPr="003D07A2">
        <w:rPr>
          <w:rFonts w:cstheme="minorHAnsi"/>
          <w:b/>
          <w:bCs/>
        </w:rPr>
        <w:t>Ieguldījumi</w:t>
      </w:r>
      <w:r w:rsidRPr="003D07A2">
        <w:rPr>
          <w:rFonts w:cstheme="minorHAnsi"/>
        </w:rPr>
        <w:t>, euro</w:t>
      </w:r>
    </w:p>
    <w:tbl>
      <w:tblPr>
        <w:tblStyle w:val="Reatabula"/>
        <w:tblW w:w="0" w:type="auto"/>
        <w:tblLayout w:type="fixed"/>
        <w:tblLook w:val="04A0" w:firstRow="1" w:lastRow="0" w:firstColumn="1" w:lastColumn="0" w:noHBand="0" w:noVBand="1"/>
      </w:tblPr>
      <w:tblGrid>
        <w:gridCol w:w="2689"/>
        <w:gridCol w:w="1134"/>
        <w:gridCol w:w="992"/>
        <w:gridCol w:w="1134"/>
        <w:gridCol w:w="1338"/>
        <w:gridCol w:w="1009"/>
      </w:tblGrid>
      <w:tr w:rsidR="00F84287" w:rsidRPr="003D07A2" w14:paraId="3AE4DF3B" w14:textId="77777777" w:rsidTr="00FA2AE6">
        <w:trPr>
          <w:trHeight w:val="877"/>
        </w:trPr>
        <w:tc>
          <w:tcPr>
            <w:tcW w:w="2689" w:type="dxa"/>
            <w:vAlign w:val="center"/>
          </w:tcPr>
          <w:p w14:paraId="11685281" w14:textId="77777777" w:rsidR="00F84287" w:rsidRPr="003D07A2" w:rsidRDefault="00F84287" w:rsidP="00F84287">
            <w:pPr>
              <w:jc w:val="center"/>
              <w:rPr>
                <w:rFonts w:cstheme="minorHAnsi"/>
              </w:rPr>
            </w:pPr>
            <w:r w:rsidRPr="003D07A2">
              <w:rPr>
                <w:rFonts w:cstheme="minorHAnsi"/>
              </w:rPr>
              <w:t>Ieguldījumu pozīcija</w:t>
            </w:r>
          </w:p>
        </w:tc>
        <w:tc>
          <w:tcPr>
            <w:tcW w:w="1134" w:type="dxa"/>
            <w:vAlign w:val="center"/>
          </w:tcPr>
          <w:p w14:paraId="6A31D0FD" w14:textId="5A56FFFD" w:rsidR="00F84287" w:rsidRPr="003D07A2" w:rsidRDefault="00F84287" w:rsidP="00F84287">
            <w:pPr>
              <w:jc w:val="center"/>
              <w:rPr>
                <w:rFonts w:cstheme="minorHAnsi"/>
              </w:rPr>
            </w:pPr>
            <w:r w:rsidRPr="003D07A2">
              <w:rPr>
                <w:rFonts w:cstheme="minorHAnsi"/>
              </w:rPr>
              <w:t>20</w:t>
            </w:r>
            <w:r w:rsidR="00D21AA3">
              <w:rPr>
                <w:rFonts w:cstheme="minorHAnsi"/>
              </w:rPr>
              <w:t>20</w:t>
            </w:r>
            <w:r w:rsidRPr="003D07A2">
              <w:rPr>
                <w:rFonts w:cstheme="minorHAnsi"/>
              </w:rPr>
              <w:t>.</w:t>
            </w:r>
            <w:r w:rsidR="00FA2AE6" w:rsidRPr="003D07A2">
              <w:rPr>
                <w:rFonts w:cstheme="minorHAnsi"/>
              </w:rPr>
              <w:t xml:space="preserve"> </w:t>
            </w:r>
            <w:r w:rsidRPr="003D07A2">
              <w:rPr>
                <w:rFonts w:cstheme="minorHAnsi"/>
              </w:rPr>
              <w:t>gads</w:t>
            </w:r>
          </w:p>
        </w:tc>
        <w:tc>
          <w:tcPr>
            <w:tcW w:w="992" w:type="dxa"/>
            <w:vAlign w:val="center"/>
          </w:tcPr>
          <w:p w14:paraId="142B679C" w14:textId="732596FE" w:rsidR="00F84287" w:rsidRPr="003D07A2" w:rsidRDefault="00F84287" w:rsidP="00F84287">
            <w:pPr>
              <w:jc w:val="center"/>
              <w:rPr>
                <w:rFonts w:cstheme="minorHAnsi"/>
              </w:rPr>
            </w:pPr>
            <w:r w:rsidRPr="003D07A2">
              <w:rPr>
                <w:rFonts w:cstheme="minorHAnsi"/>
              </w:rPr>
              <w:t>202</w:t>
            </w:r>
            <w:r w:rsidR="00D21AA3">
              <w:rPr>
                <w:rFonts w:cstheme="minorHAnsi"/>
              </w:rPr>
              <w:t>1</w:t>
            </w:r>
            <w:r w:rsidRPr="003D07A2">
              <w:rPr>
                <w:rFonts w:cstheme="minorHAnsi"/>
              </w:rPr>
              <w:t>.g.</w:t>
            </w:r>
            <w:r w:rsidR="00FA2AE6" w:rsidRPr="003D07A2">
              <w:rPr>
                <w:rFonts w:cstheme="minorHAnsi"/>
              </w:rPr>
              <w:t xml:space="preserve"> </w:t>
            </w:r>
            <w:r w:rsidRPr="003D07A2">
              <w:rPr>
                <w:rFonts w:cstheme="minorHAnsi"/>
              </w:rPr>
              <w:t>plāns</w:t>
            </w:r>
          </w:p>
        </w:tc>
        <w:tc>
          <w:tcPr>
            <w:tcW w:w="1134" w:type="dxa"/>
            <w:vAlign w:val="center"/>
          </w:tcPr>
          <w:p w14:paraId="60327C26" w14:textId="1FFCB625" w:rsidR="00F84287" w:rsidRPr="003D07A2" w:rsidRDefault="00F84287" w:rsidP="00F84287">
            <w:pPr>
              <w:jc w:val="center"/>
              <w:rPr>
                <w:rFonts w:cstheme="minorHAnsi"/>
              </w:rPr>
            </w:pPr>
            <w:r w:rsidRPr="003D07A2">
              <w:rPr>
                <w:rFonts w:cstheme="minorHAnsi"/>
              </w:rPr>
              <w:t>202</w:t>
            </w:r>
            <w:r w:rsidR="00D21AA3">
              <w:rPr>
                <w:rFonts w:cstheme="minorHAnsi"/>
              </w:rPr>
              <w:t>1</w:t>
            </w:r>
            <w:r w:rsidRPr="003D07A2">
              <w:rPr>
                <w:rFonts w:cstheme="minorHAnsi"/>
              </w:rPr>
              <w:t>.g.</w:t>
            </w:r>
            <w:r w:rsidR="00FA2AE6" w:rsidRPr="003D07A2">
              <w:rPr>
                <w:rFonts w:cstheme="minorHAnsi"/>
              </w:rPr>
              <w:t xml:space="preserve"> </w:t>
            </w:r>
            <w:r w:rsidRPr="003D07A2">
              <w:rPr>
                <w:rFonts w:cstheme="minorHAnsi"/>
              </w:rPr>
              <w:t>fakts</w:t>
            </w:r>
          </w:p>
        </w:tc>
        <w:tc>
          <w:tcPr>
            <w:tcW w:w="1338" w:type="dxa"/>
            <w:vAlign w:val="center"/>
          </w:tcPr>
          <w:p w14:paraId="0BD1ABA7" w14:textId="714602D1" w:rsidR="00F84287" w:rsidRPr="003D07A2" w:rsidRDefault="00F84287" w:rsidP="00F84287">
            <w:pPr>
              <w:jc w:val="center"/>
              <w:rPr>
                <w:rFonts w:cstheme="minorHAnsi"/>
              </w:rPr>
            </w:pPr>
            <w:r w:rsidRPr="003D07A2">
              <w:rPr>
                <w:rFonts w:cstheme="minorHAnsi"/>
              </w:rPr>
              <w:t>Novirze pret 20</w:t>
            </w:r>
            <w:r w:rsidR="001E5DA4">
              <w:rPr>
                <w:rFonts w:cstheme="minorHAnsi"/>
              </w:rPr>
              <w:t>20</w:t>
            </w:r>
            <w:r w:rsidRPr="003D07A2">
              <w:rPr>
                <w:rFonts w:cstheme="minorHAnsi"/>
              </w:rPr>
              <w:t>.g.</w:t>
            </w:r>
          </w:p>
        </w:tc>
        <w:tc>
          <w:tcPr>
            <w:tcW w:w="1009" w:type="dxa"/>
            <w:vAlign w:val="center"/>
          </w:tcPr>
          <w:p w14:paraId="05B2E416" w14:textId="77777777" w:rsidR="00F84287" w:rsidRPr="003D07A2" w:rsidRDefault="00F84287" w:rsidP="00F84287">
            <w:pPr>
              <w:jc w:val="center"/>
              <w:rPr>
                <w:rFonts w:cstheme="minorHAnsi"/>
              </w:rPr>
            </w:pPr>
            <w:r w:rsidRPr="003D07A2">
              <w:rPr>
                <w:rFonts w:cstheme="minorHAnsi"/>
              </w:rPr>
              <w:t>Novirze pret plānu</w:t>
            </w:r>
          </w:p>
        </w:tc>
      </w:tr>
      <w:tr w:rsidR="00B63C01" w:rsidRPr="003D07A2" w14:paraId="18DE76F8" w14:textId="77777777" w:rsidTr="00FA2AE6">
        <w:tc>
          <w:tcPr>
            <w:tcW w:w="2689" w:type="dxa"/>
          </w:tcPr>
          <w:p w14:paraId="7954BFF5" w14:textId="77777777" w:rsidR="00B63C01" w:rsidRPr="003D07A2" w:rsidRDefault="00B63C01" w:rsidP="006E37EF">
            <w:pPr>
              <w:rPr>
                <w:rFonts w:cstheme="minorHAnsi"/>
              </w:rPr>
            </w:pPr>
            <w:r w:rsidRPr="003D07A2">
              <w:rPr>
                <w:rFonts w:cstheme="minorHAnsi"/>
              </w:rPr>
              <w:t>Nemateriālie ieguldījumi (licences)</w:t>
            </w:r>
          </w:p>
        </w:tc>
        <w:tc>
          <w:tcPr>
            <w:tcW w:w="1134" w:type="dxa"/>
            <w:vAlign w:val="center"/>
          </w:tcPr>
          <w:p w14:paraId="43551EED" w14:textId="17A1949C" w:rsidR="00B63C01" w:rsidRPr="003D07A2" w:rsidRDefault="001E5DA4" w:rsidP="006E37EF">
            <w:pPr>
              <w:jc w:val="center"/>
              <w:rPr>
                <w:rFonts w:cstheme="minorHAnsi"/>
              </w:rPr>
            </w:pPr>
            <w:r>
              <w:rPr>
                <w:rFonts w:cstheme="minorHAnsi"/>
              </w:rPr>
              <w:t>1459</w:t>
            </w:r>
          </w:p>
        </w:tc>
        <w:tc>
          <w:tcPr>
            <w:tcW w:w="992" w:type="dxa"/>
            <w:vAlign w:val="center"/>
          </w:tcPr>
          <w:p w14:paraId="33904CEE" w14:textId="37211747" w:rsidR="00B63C01" w:rsidRPr="003D07A2" w:rsidRDefault="001E5DA4" w:rsidP="006E37EF">
            <w:pPr>
              <w:jc w:val="center"/>
              <w:rPr>
                <w:rFonts w:cstheme="minorHAnsi"/>
              </w:rPr>
            </w:pPr>
            <w:r>
              <w:rPr>
                <w:rFonts w:cstheme="minorHAnsi"/>
              </w:rPr>
              <w:t>5900</w:t>
            </w:r>
          </w:p>
        </w:tc>
        <w:tc>
          <w:tcPr>
            <w:tcW w:w="1134" w:type="dxa"/>
            <w:vAlign w:val="center"/>
          </w:tcPr>
          <w:p w14:paraId="41E41057" w14:textId="0B86E2C0" w:rsidR="00B63C01" w:rsidRPr="003D07A2" w:rsidRDefault="001E5DA4" w:rsidP="006E37EF">
            <w:pPr>
              <w:jc w:val="center"/>
              <w:rPr>
                <w:rFonts w:cstheme="minorHAnsi"/>
              </w:rPr>
            </w:pPr>
            <w:r>
              <w:rPr>
                <w:rFonts w:cstheme="minorHAnsi"/>
              </w:rPr>
              <w:t>0</w:t>
            </w:r>
          </w:p>
        </w:tc>
        <w:tc>
          <w:tcPr>
            <w:tcW w:w="1338" w:type="dxa"/>
            <w:vAlign w:val="center"/>
          </w:tcPr>
          <w:p w14:paraId="57A7A79E" w14:textId="1E52C35A" w:rsidR="004A49EF" w:rsidRPr="003D07A2" w:rsidRDefault="001E5DA4" w:rsidP="00FA2AE6">
            <w:pPr>
              <w:jc w:val="center"/>
              <w:rPr>
                <w:rFonts w:cstheme="minorHAnsi"/>
              </w:rPr>
            </w:pPr>
            <w:r>
              <w:rPr>
                <w:rFonts w:cstheme="minorHAnsi"/>
              </w:rPr>
              <w:t>-1459</w:t>
            </w:r>
          </w:p>
        </w:tc>
        <w:tc>
          <w:tcPr>
            <w:tcW w:w="1009" w:type="dxa"/>
            <w:vAlign w:val="center"/>
          </w:tcPr>
          <w:p w14:paraId="55D649EA" w14:textId="30D7DB1D" w:rsidR="00B63C01" w:rsidRPr="003D07A2" w:rsidRDefault="001E5DA4" w:rsidP="006E37EF">
            <w:pPr>
              <w:jc w:val="center"/>
              <w:rPr>
                <w:rFonts w:cstheme="minorHAnsi"/>
              </w:rPr>
            </w:pPr>
            <w:r>
              <w:rPr>
                <w:rFonts w:cstheme="minorHAnsi"/>
              </w:rPr>
              <w:t>-5900</w:t>
            </w:r>
          </w:p>
        </w:tc>
      </w:tr>
      <w:tr w:rsidR="00B63C01" w:rsidRPr="003D07A2" w14:paraId="11047CE8" w14:textId="77777777" w:rsidTr="00FA2AE6">
        <w:tc>
          <w:tcPr>
            <w:tcW w:w="2689" w:type="dxa"/>
          </w:tcPr>
          <w:p w14:paraId="2986BD38" w14:textId="77777777" w:rsidR="00B63C01" w:rsidRPr="003D07A2" w:rsidRDefault="00B63C01" w:rsidP="006E37EF">
            <w:pPr>
              <w:rPr>
                <w:rFonts w:cstheme="minorHAnsi"/>
              </w:rPr>
            </w:pPr>
            <w:r w:rsidRPr="003D07A2">
              <w:rPr>
                <w:rFonts w:cstheme="minorHAnsi"/>
              </w:rPr>
              <w:t>Nekustamais īpašums</w:t>
            </w:r>
          </w:p>
        </w:tc>
        <w:tc>
          <w:tcPr>
            <w:tcW w:w="1134" w:type="dxa"/>
            <w:vAlign w:val="center"/>
          </w:tcPr>
          <w:p w14:paraId="3115DEDE" w14:textId="1F1B0753" w:rsidR="00B63C01" w:rsidRPr="003D07A2" w:rsidRDefault="001E5DA4" w:rsidP="006E37EF">
            <w:pPr>
              <w:jc w:val="center"/>
              <w:rPr>
                <w:rFonts w:cstheme="minorHAnsi"/>
              </w:rPr>
            </w:pPr>
            <w:r>
              <w:rPr>
                <w:rFonts w:cstheme="minorHAnsi"/>
              </w:rPr>
              <w:t>81 177</w:t>
            </w:r>
          </w:p>
        </w:tc>
        <w:tc>
          <w:tcPr>
            <w:tcW w:w="992" w:type="dxa"/>
            <w:vAlign w:val="center"/>
          </w:tcPr>
          <w:p w14:paraId="2F13B61A" w14:textId="2F622FD9" w:rsidR="00B63C01" w:rsidRPr="003D07A2" w:rsidRDefault="001E5DA4" w:rsidP="006E37EF">
            <w:pPr>
              <w:jc w:val="center"/>
              <w:rPr>
                <w:rFonts w:cstheme="minorHAnsi"/>
              </w:rPr>
            </w:pPr>
            <w:r>
              <w:rPr>
                <w:rFonts w:cstheme="minorHAnsi"/>
              </w:rPr>
              <w:t>125 548</w:t>
            </w:r>
          </w:p>
        </w:tc>
        <w:tc>
          <w:tcPr>
            <w:tcW w:w="1134" w:type="dxa"/>
            <w:vAlign w:val="center"/>
          </w:tcPr>
          <w:p w14:paraId="223DD9EA" w14:textId="76EE24C0" w:rsidR="00B63C01" w:rsidRPr="003D07A2" w:rsidRDefault="001E5DA4" w:rsidP="006E37EF">
            <w:pPr>
              <w:jc w:val="center"/>
              <w:rPr>
                <w:rFonts w:cstheme="minorHAnsi"/>
              </w:rPr>
            </w:pPr>
            <w:r>
              <w:rPr>
                <w:rFonts w:cstheme="minorHAnsi"/>
              </w:rPr>
              <w:t>22 990</w:t>
            </w:r>
          </w:p>
        </w:tc>
        <w:tc>
          <w:tcPr>
            <w:tcW w:w="1338" w:type="dxa"/>
            <w:vAlign w:val="center"/>
          </w:tcPr>
          <w:p w14:paraId="39DDB103" w14:textId="06252D57" w:rsidR="00B63C01" w:rsidRPr="003D07A2" w:rsidRDefault="001E5DA4" w:rsidP="006E37EF">
            <w:pPr>
              <w:jc w:val="center"/>
              <w:rPr>
                <w:rFonts w:cstheme="minorHAnsi"/>
              </w:rPr>
            </w:pPr>
            <w:r>
              <w:rPr>
                <w:rFonts w:cstheme="minorHAnsi"/>
              </w:rPr>
              <w:t>-58 187</w:t>
            </w:r>
          </w:p>
        </w:tc>
        <w:tc>
          <w:tcPr>
            <w:tcW w:w="1009" w:type="dxa"/>
            <w:vAlign w:val="center"/>
          </w:tcPr>
          <w:p w14:paraId="08DC931D" w14:textId="4DB81336" w:rsidR="00B63C01" w:rsidRPr="003D07A2" w:rsidRDefault="001E5DA4" w:rsidP="006E37EF">
            <w:pPr>
              <w:jc w:val="center"/>
              <w:rPr>
                <w:rFonts w:cstheme="minorHAnsi"/>
              </w:rPr>
            </w:pPr>
            <w:r>
              <w:rPr>
                <w:rFonts w:cstheme="minorHAnsi"/>
              </w:rPr>
              <w:t>-102 558</w:t>
            </w:r>
          </w:p>
        </w:tc>
      </w:tr>
      <w:tr w:rsidR="00B63C01" w:rsidRPr="003D07A2" w14:paraId="56018ADF" w14:textId="77777777" w:rsidTr="00FA2AE6">
        <w:tc>
          <w:tcPr>
            <w:tcW w:w="2689" w:type="dxa"/>
          </w:tcPr>
          <w:p w14:paraId="74387AB0" w14:textId="77777777" w:rsidR="00B63C01" w:rsidRPr="003D07A2" w:rsidRDefault="00B63C01" w:rsidP="006E37EF">
            <w:pPr>
              <w:rPr>
                <w:rFonts w:cstheme="minorHAnsi"/>
              </w:rPr>
            </w:pPr>
            <w:r w:rsidRPr="003D07A2">
              <w:rPr>
                <w:rFonts w:cstheme="minorHAnsi"/>
              </w:rPr>
              <w:t>Tehnoloģiskās iekārtas</w:t>
            </w:r>
          </w:p>
        </w:tc>
        <w:tc>
          <w:tcPr>
            <w:tcW w:w="1134" w:type="dxa"/>
            <w:vAlign w:val="center"/>
          </w:tcPr>
          <w:p w14:paraId="35C7AACC" w14:textId="29C5DB28" w:rsidR="00B63C01" w:rsidRPr="003D07A2" w:rsidRDefault="001E5DA4" w:rsidP="006E37EF">
            <w:pPr>
              <w:jc w:val="center"/>
              <w:rPr>
                <w:rFonts w:cstheme="minorHAnsi"/>
              </w:rPr>
            </w:pPr>
            <w:r>
              <w:rPr>
                <w:rFonts w:cstheme="minorHAnsi"/>
              </w:rPr>
              <w:t>0</w:t>
            </w:r>
          </w:p>
        </w:tc>
        <w:tc>
          <w:tcPr>
            <w:tcW w:w="992" w:type="dxa"/>
            <w:vAlign w:val="center"/>
          </w:tcPr>
          <w:p w14:paraId="47F02D80" w14:textId="04AF6281" w:rsidR="00B63C01" w:rsidRPr="003D07A2" w:rsidRDefault="001E5DA4" w:rsidP="006E37EF">
            <w:pPr>
              <w:jc w:val="center"/>
              <w:rPr>
                <w:rFonts w:cstheme="minorHAnsi"/>
              </w:rPr>
            </w:pPr>
            <w:r>
              <w:rPr>
                <w:rFonts w:cstheme="minorHAnsi"/>
              </w:rPr>
              <w:t>7500</w:t>
            </w:r>
          </w:p>
        </w:tc>
        <w:tc>
          <w:tcPr>
            <w:tcW w:w="1134" w:type="dxa"/>
            <w:vAlign w:val="center"/>
          </w:tcPr>
          <w:p w14:paraId="640E55B9" w14:textId="7AD7EEBA" w:rsidR="00B63C01" w:rsidRPr="003D07A2" w:rsidRDefault="001E5DA4" w:rsidP="006E37EF">
            <w:pPr>
              <w:jc w:val="center"/>
              <w:rPr>
                <w:rFonts w:cstheme="minorHAnsi"/>
              </w:rPr>
            </w:pPr>
            <w:r>
              <w:rPr>
                <w:rFonts w:cstheme="minorHAnsi"/>
              </w:rPr>
              <w:t>7757</w:t>
            </w:r>
          </w:p>
        </w:tc>
        <w:tc>
          <w:tcPr>
            <w:tcW w:w="1338" w:type="dxa"/>
            <w:vAlign w:val="center"/>
          </w:tcPr>
          <w:p w14:paraId="14FB8C53" w14:textId="5C28C7F3" w:rsidR="00B63C01" w:rsidRPr="003D07A2" w:rsidRDefault="001E5DA4" w:rsidP="006E37EF">
            <w:pPr>
              <w:jc w:val="center"/>
              <w:rPr>
                <w:rFonts w:cstheme="minorHAnsi"/>
              </w:rPr>
            </w:pPr>
            <w:r>
              <w:rPr>
                <w:rFonts w:cstheme="minorHAnsi"/>
              </w:rPr>
              <w:t>+7757</w:t>
            </w:r>
          </w:p>
        </w:tc>
        <w:tc>
          <w:tcPr>
            <w:tcW w:w="1009" w:type="dxa"/>
            <w:vAlign w:val="center"/>
          </w:tcPr>
          <w:p w14:paraId="11431822" w14:textId="5061DD45" w:rsidR="00B63C01" w:rsidRPr="003D07A2" w:rsidRDefault="001E5DA4" w:rsidP="006E37EF">
            <w:pPr>
              <w:jc w:val="center"/>
              <w:rPr>
                <w:rFonts w:cstheme="minorHAnsi"/>
              </w:rPr>
            </w:pPr>
            <w:r>
              <w:rPr>
                <w:rFonts w:cstheme="minorHAnsi"/>
              </w:rPr>
              <w:t>+257</w:t>
            </w:r>
          </w:p>
        </w:tc>
      </w:tr>
      <w:tr w:rsidR="00B63C01" w:rsidRPr="003D07A2" w14:paraId="55D1C51F" w14:textId="77777777" w:rsidTr="00FA2AE6">
        <w:tc>
          <w:tcPr>
            <w:tcW w:w="2689" w:type="dxa"/>
          </w:tcPr>
          <w:p w14:paraId="14396189" w14:textId="77777777" w:rsidR="00B63C01" w:rsidRPr="003D07A2" w:rsidRDefault="00B63C01" w:rsidP="006E37EF">
            <w:pPr>
              <w:rPr>
                <w:rFonts w:cstheme="minorHAnsi"/>
              </w:rPr>
            </w:pPr>
            <w:r w:rsidRPr="003D07A2">
              <w:rPr>
                <w:rFonts w:cstheme="minorHAnsi"/>
              </w:rPr>
              <w:t>Saimniecības pamatlīdzekļi</w:t>
            </w:r>
          </w:p>
        </w:tc>
        <w:tc>
          <w:tcPr>
            <w:tcW w:w="1134" w:type="dxa"/>
            <w:vAlign w:val="center"/>
          </w:tcPr>
          <w:p w14:paraId="785F740C" w14:textId="7E63708E" w:rsidR="00B63C01" w:rsidRPr="003D07A2" w:rsidRDefault="001E5DA4" w:rsidP="006E37EF">
            <w:pPr>
              <w:jc w:val="center"/>
              <w:rPr>
                <w:rFonts w:cstheme="minorHAnsi"/>
              </w:rPr>
            </w:pPr>
            <w:r>
              <w:rPr>
                <w:rFonts w:cstheme="minorHAnsi"/>
              </w:rPr>
              <w:t>1206</w:t>
            </w:r>
          </w:p>
        </w:tc>
        <w:tc>
          <w:tcPr>
            <w:tcW w:w="992" w:type="dxa"/>
            <w:vAlign w:val="center"/>
          </w:tcPr>
          <w:p w14:paraId="00F3E1CE" w14:textId="09C5CCBA" w:rsidR="00B63C01" w:rsidRPr="003D07A2" w:rsidRDefault="001E5DA4" w:rsidP="006E37EF">
            <w:pPr>
              <w:jc w:val="center"/>
              <w:rPr>
                <w:rFonts w:cstheme="minorHAnsi"/>
              </w:rPr>
            </w:pPr>
            <w:r>
              <w:rPr>
                <w:rFonts w:cstheme="minorHAnsi"/>
              </w:rPr>
              <w:t>11 650</w:t>
            </w:r>
          </w:p>
        </w:tc>
        <w:tc>
          <w:tcPr>
            <w:tcW w:w="1134" w:type="dxa"/>
            <w:vAlign w:val="center"/>
          </w:tcPr>
          <w:p w14:paraId="272A4F9D" w14:textId="796E4223" w:rsidR="00B63C01" w:rsidRPr="003D07A2" w:rsidRDefault="001E5DA4" w:rsidP="006E37EF">
            <w:pPr>
              <w:jc w:val="center"/>
              <w:rPr>
                <w:rFonts w:cstheme="minorHAnsi"/>
              </w:rPr>
            </w:pPr>
            <w:r>
              <w:rPr>
                <w:rFonts w:cstheme="minorHAnsi"/>
              </w:rPr>
              <w:t>11 555</w:t>
            </w:r>
          </w:p>
        </w:tc>
        <w:tc>
          <w:tcPr>
            <w:tcW w:w="1338" w:type="dxa"/>
            <w:vAlign w:val="center"/>
          </w:tcPr>
          <w:p w14:paraId="1D3D0138" w14:textId="5F394B78" w:rsidR="00B63C01" w:rsidRPr="003D07A2" w:rsidRDefault="001E5DA4" w:rsidP="006E37EF">
            <w:pPr>
              <w:jc w:val="center"/>
              <w:rPr>
                <w:rFonts w:cstheme="minorHAnsi"/>
              </w:rPr>
            </w:pPr>
            <w:r>
              <w:rPr>
                <w:rFonts w:cstheme="minorHAnsi"/>
              </w:rPr>
              <w:t>+10 349</w:t>
            </w:r>
          </w:p>
        </w:tc>
        <w:tc>
          <w:tcPr>
            <w:tcW w:w="1009" w:type="dxa"/>
            <w:vAlign w:val="center"/>
          </w:tcPr>
          <w:p w14:paraId="486495C0" w14:textId="4697049A" w:rsidR="00B63C01" w:rsidRPr="003D07A2" w:rsidRDefault="001E5DA4" w:rsidP="006E37EF">
            <w:pPr>
              <w:jc w:val="center"/>
              <w:rPr>
                <w:rFonts w:cstheme="minorHAnsi"/>
              </w:rPr>
            </w:pPr>
            <w:r>
              <w:rPr>
                <w:rFonts w:cstheme="minorHAnsi"/>
              </w:rPr>
              <w:t>-95</w:t>
            </w:r>
          </w:p>
        </w:tc>
      </w:tr>
      <w:tr w:rsidR="00B63C01" w:rsidRPr="003D07A2" w14:paraId="62D0E03A" w14:textId="77777777" w:rsidTr="00FA2AE6">
        <w:tc>
          <w:tcPr>
            <w:tcW w:w="2689" w:type="dxa"/>
          </w:tcPr>
          <w:p w14:paraId="6B841AAA" w14:textId="77777777" w:rsidR="00B63C01" w:rsidRPr="003D07A2" w:rsidRDefault="00B63C01" w:rsidP="006E37EF">
            <w:pPr>
              <w:rPr>
                <w:rFonts w:cstheme="minorHAnsi"/>
              </w:rPr>
            </w:pPr>
            <w:r w:rsidRPr="003D07A2">
              <w:rPr>
                <w:rFonts w:cstheme="minorHAnsi"/>
              </w:rPr>
              <w:t>Datortehnika</w:t>
            </w:r>
          </w:p>
        </w:tc>
        <w:tc>
          <w:tcPr>
            <w:tcW w:w="1134" w:type="dxa"/>
            <w:vAlign w:val="center"/>
          </w:tcPr>
          <w:p w14:paraId="45FFD4E2" w14:textId="74487FF8" w:rsidR="00B63C01" w:rsidRPr="003D07A2" w:rsidRDefault="001E5DA4" w:rsidP="006E37EF">
            <w:pPr>
              <w:jc w:val="center"/>
              <w:rPr>
                <w:rFonts w:cstheme="minorHAnsi"/>
              </w:rPr>
            </w:pPr>
            <w:r>
              <w:rPr>
                <w:rFonts w:cstheme="minorHAnsi"/>
              </w:rPr>
              <w:t>5075</w:t>
            </w:r>
          </w:p>
        </w:tc>
        <w:tc>
          <w:tcPr>
            <w:tcW w:w="992" w:type="dxa"/>
            <w:vAlign w:val="center"/>
          </w:tcPr>
          <w:p w14:paraId="0296B5F3" w14:textId="61BA6FAE" w:rsidR="00B63C01" w:rsidRPr="003D07A2" w:rsidRDefault="001E5DA4" w:rsidP="006E37EF">
            <w:pPr>
              <w:jc w:val="center"/>
              <w:rPr>
                <w:rFonts w:cstheme="minorHAnsi"/>
              </w:rPr>
            </w:pPr>
            <w:r>
              <w:rPr>
                <w:rFonts w:cstheme="minorHAnsi"/>
              </w:rPr>
              <w:t>5960</w:t>
            </w:r>
          </w:p>
        </w:tc>
        <w:tc>
          <w:tcPr>
            <w:tcW w:w="1134" w:type="dxa"/>
            <w:vAlign w:val="center"/>
          </w:tcPr>
          <w:p w14:paraId="6ACEE891" w14:textId="485B5CF9" w:rsidR="00B63C01" w:rsidRPr="003D07A2" w:rsidRDefault="001E5DA4" w:rsidP="006E37EF">
            <w:pPr>
              <w:jc w:val="center"/>
              <w:rPr>
                <w:rFonts w:cstheme="minorHAnsi"/>
              </w:rPr>
            </w:pPr>
            <w:r>
              <w:rPr>
                <w:rFonts w:cstheme="minorHAnsi"/>
              </w:rPr>
              <w:t>0</w:t>
            </w:r>
          </w:p>
        </w:tc>
        <w:tc>
          <w:tcPr>
            <w:tcW w:w="1338" w:type="dxa"/>
            <w:vAlign w:val="center"/>
          </w:tcPr>
          <w:p w14:paraId="1EBCF2D9" w14:textId="4B2D18D1" w:rsidR="00B63C01" w:rsidRPr="003D07A2" w:rsidRDefault="001E5DA4" w:rsidP="006E37EF">
            <w:pPr>
              <w:jc w:val="center"/>
              <w:rPr>
                <w:rFonts w:cstheme="minorHAnsi"/>
              </w:rPr>
            </w:pPr>
            <w:r>
              <w:rPr>
                <w:rFonts w:cstheme="minorHAnsi"/>
              </w:rPr>
              <w:t>-5075</w:t>
            </w:r>
          </w:p>
        </w:tc>
        <w:tc>
          <w:tcPr>
            <w:tcW w:w="1009" w:type="dxa"/>
            <w:vAlign w:val="center"/>
          </w:tcPr>
          <w:p w14:paraId="51BD3617" w14:textId="6110C876" w:rsidR="00B63C01" w:rsidRPr="003D07A2" w:rsidRDefault="001E5DA4" w:rsidP="006E37EF">
            <w:pPr>
              <w:jc w:val="center"/>
              <w:rPr>
                <w:rFonts w:cstheme="minorHAnsi"/>
              </w:rPr>
            </w:pPr>
            <w:r>
              <w:rPr>
                <w:rFonts w:cstheme="minorHAnsi"/>
              </w:rPr>
              <w:t>-5960</w:t>
            </w:r>
          </w:p>
        </w:tc>
      </w:tr>
      <w:tr w:rsidR="00B63C01" w:rsidRPr="003D07A2" w14:paraId="7DB828FB" w14:textId="77777777" w:rsidTr="00FA2AE6">
        <w:tc>
          <w:tcPr>
            <w:tcW w:w="2689" w:type="dxa"/>
          </w:tcPr>
          <w:p w14:paraId="0237030A" w14:textId="77777777" w:rsidR="00B63C01" w:rsidRPr="003D07A2" w:rsidRDefault="00B63C01" w:rsidP="006E37EF">
            <w:pPr>
              <w:rPr>
                <w:rFonts w:cstheme="minorHAnsi"/>
              </w:rPr>
            </w:pPr>
            <w:r w:rsidRPr="003D07A2">
              <w:rPr>
                <w:rFonts w:cstheme="minorHAnsi"/>
              </w:rPr>
              <w:t>Pārējie pamatlīdzekļi</w:t>
            </w:r>
          </w:p>
        </w:tc>
        <w:tc>
          <w:tcPr>
            <w:tcW w:w="1134" w:type="dxa"/>
            <w:vAlign w:val="center"/>
          </w:tcPr>
          <w:p w14:paraId="137C54AD" w14:textId="4FF687DE" w:rsidR="00B63C01" w:rsidRPr="003D07A2" w:rsidRDefault="001E5DA4" w:rsidP="006E37EF">
            <w:pPr>
              <w:jc w:val="center"/>
              <w:rPr>
                <w:rFonts w:cstheme="minorHAnsi"/>
              </w:rPr>
            </w:pPr>
            <w:r>
              <w:rPr>
                <w:rFonts w:cstheme="minorHAnsi"/>
              </w:rPr>
              <w:t>236</w:t>
            </w:r>
          </w:p>
        </w:tc>
        <w:tc>
          <w:tcPr>
            <w:tcW w:w="992" w:type="dxa"/>
            <w:vAlign w:val="center"/>
          </w:tcPr>
          <w:p w14:paraId="23C9339D" w14:textId="7DECF657" w:rsidR="00B63C01" w:rsidRPr="003D07A2" w:rsidRDefault="001E5DA4" w:rsidP="006E37EF">
            <w:pPr>
              <w:jc w:val="center"/>
              <w:rPr>
                <w:rFonts w:cstheme="minorHAnsi"/>
              </w:rPr>
            </w:pPr>
            <w:r>
              <w:rPr>
                <w:rFonts w:cstheme="minorHAnsi"/>
              </w:rPr>
              <w:t>1940</w:t>
            </w:r>
          </w:p>
        </w:tc>
        <w:tc>
          <w:tcPr>
            <w:tcW w:w="1134" w:type="dxa"/>
            <w:vAlign w:val="center"/>
          </w:tcPr>
          <w:p w14:paraId="78CDD271" w14:textId="3E57E2FE" w:rsidR="00B63C01" w:rsidRPr="003D07A2" w:rsidRDefault="001E5DA4" w:rsidP="006E37EF">
            <w:pPr>
              <w:jc w:val="center"/>
              <w:rPr>
                <w:rFonts w:cstheme="minorHAnsi"/>
              </w:rPr>
            </w:pPr>
            <w:r>
              <w:rPr>
                <w:rFonts w:cstheme="minorHAnsi"/>
              </w:rPr>
              <w:t>23 804</w:t>
            </w:r>
          </w:p>
        </w:tc>
        <w:tc>
          <w:tcPr>
            <w:tcW w:w="1338" w:type="dxa"/>
            <w:vAlign w:val="center"/>
          </w:tcPr>
          <w:p w14:paraId="0B0F330A" w14:textId="2EAECE7A" w:rsidR="00B63C01" w:rsidRPr="003D07A2" w:rsidRDefault="001E5DA4" w:rsidP="006E37EF">
            <w:pPr>
              <w:jc w:val="center"/>
              <w:rPr>
                <w:rFonts w:cstheme="minorHAnsi"/>
              </w:rPr>
            </w:pPr>
            <w:r>
              <w:rPr>
                <w:rFonts w:cstheme="minorHAnsi"/>
              </w:rPr>
              <w:t>+23 568</w:t>
            </w:r>
          </w:p>
        </w:tc>
        <w:tc>
          <w:tcPr>
            <w:tcW w:w="1009" w:type="dxa"/>
            <w:vAlign w:val="center"/>
          </w:tcPr>
          <w:p w14:paraId="6125AF04" w14:textId="10A70BE6" w:rsidR="00B63C01" w:rsidRPr="003D07A2" w:rsidRDefault="001E5DA4" w:rsidP="006E37EF">
            <w:pPr>
              <w:jc w:val="center"/>
              <w:rPr>
                <w:rFonts w:cstheme="minorHAnsi"/>
              </w:rPr>
            </w:pPr>
            <w:r>
              <w:rPr>
                <w:rFonts w:cstheme="minorHAnsi"/>
              </w:rPr>
              <w:t>+21 864</w:t>
            </w:r>
          </w:p>
        </w:tc>
      </w:tr>
    </w:tbl>
    <w:p w14:paraId="02456037" w14:textId="57E43C5E" w:rsidR="007B12D7" w:rsidRDefault="007B12D7" w:rsidP="00FA2AE6">
      <w:pPr>
        <w:spacing w:before="100" w:beforeAutospacing="1" w:after="100" w:afterAutospacing="1"/>
        <w:jc w:val="both"/>
        <w:rPr>
          <w:rFonts w:cstheme="minorHAnsi"/>
        </w:rPr>
      </w:pPr>
      <w:r w:rsidRPr="003D07A2">
        <w:rPr>
          <w:rFonts w:cstheme="minorHAnsi"/>
        </w:rPr>
        <w:t>Sabiedrība kopumā, salīdzinot ar 20</w:t>
      </w:r>
      <w:r w:rsidR="001E5DA4">
        <w:rPr>
          <w:rFonts w:cstheme="minorHAnsi"/>
        </w:rPr>
        <w:t>20</w:t>
      </w:r>
      <w:r w:rsidRPr="003D07A2">
        <w:rPr>
          <w:rFonts w:cstheme="minorHAnsi"/>
        </w:rPr>
        <w:t xml:space="preserve">.gadu, ir veikusi par </w:t>
      </w:r>
      <w:r w:rsidR="001E5DA4">
        <w:rPr>
          <w:rFonts w:cstheme="minorHAnsi"/>
        </w:rPr>
        <w:t>23 047</w:t>
      </w:r>
      <w:r w:rsidR="009A51DF" w:rsidRPr="003D07A2">
        <w:rPr>
          <w:rFonts w:cstheme="minorHAnsi"/>
        </w:rPr>
        <w:t xml:space="preserve"> </w:t>
      </w:r>
      <w:r w:rsidRPr="003D07A2">
        <w:rPr>
          <w:rFonts w:cstheme="minorHAnsi"/>
        </w:rPr>
        <w:t xml:space="preserve">euro ieguldījumu </w:t>
      </w:r>
      <w:r w:rsidR="001E5DA4">
        <w:rPr>
          <w:rFonts w:cstheme="minorHAnsi"/>
        </w:rPr>
        <w:t>mazāk</w:t>
      </w:r>
      <w:r w:rsidRPr="003D07A2">
        <w:rPr>
          <w:rFonts w:cstheme="minorHAnsi"/>
        </w:rPr>
        <w:t xml:space="preserve">, </w:t>
      </w:r>
      <w:r w:rsidR="00772971" w:rsidRPr="003D07A2">
        <w:rPr>
          <w:rFonts w:cstheme="minorHAnsi"/>
        </w:rPr>
        <w:t xml:space="preserve">faktiskā izpilde, salīdzinot ar plānu, ir par </w:t>
      </w:r>
      <w:r w:rsidR="001E5DA4">
        <w:rPr>
          <w:rFonts w:cstheme="minorHAnsi"/>
        </w:rPr>
        <w:t>92 392</w:t>
      </w:r>
      <w:r w:rsidR="00772971" w:rsidRPr="003D07A2">
        <w:rPr>
          <w:rFonts w:cstheme="minorHAnsi"/>
        </w:rPr>
        <w:t xml:space="preserve"> euro mazāk, tas pamatā saistīts</w:t>
      </w:r>
      <w:r w:rsidR="004A49EF" w:rsidRPr="003D07A2">
        <w:rPr>
          <w:rFonts w:cstheme="minorHAnsi"/>
        </w:rPr>
        <w:t xml:space="preserve"> </w:t>
      </w:r>
      <w:r w:rsidR="001E5DA4">
        <w:rPr>
          <w:rFonts w:cstheme="minorHAnsi"/>
        </w:rPr>
        <w:t>uzņemšanas nodaļas pārbūves uzsākšanas kavēšanos (Līgums ar būvnieku noslēgts 26.03.2021.)</w:t>
      </w:r>
      <w:r w:rsidR="00772971" w:rsidRPr="003D07A2">
        <w:rPr>
          <w:rFonts w:cstheme="minorHAnsi"/>
        </w:rPr>
        <w:t xml:space="preserve">. </w:t>
      </w:r>
    </w:p>
    <w:p w14:paraId="69ECD683" w14:textId="572A1053" w:rsidR="001E5DA4" w:rsidRPr="003D07A2" w:rsidRDefault="001E5DA4" w:rsidP="00FA2AE6">
      <w:pPr>
        <w:spacing w:before="100" w:beforeAutospacing="1" w:after="100" w:afterAutospacing="1"/>
        <w:jc w:val="both"/>
        <w:rPr>
          <w:rFonts w:cstheme="minorHAnsi"/>
        </w:rPr>
      </w:pPr>
      <w:r>
        <w:rPr>
          <w:rFonts w:cstheme="minorHAnsi"/>
        </w:rPr>
        <w:t>Sabiedrība saņēmusi finansējumu saskaņā ar ārkārtas dalībnieku 03.03.2021. sapulces protokols Nr.01-27.2.5/1 par sabiedrības pamatkapitāla palielināšanu un veicamajiem ieguldījumiem infrastruktūrā – stacionārās uzņemšanas nodaļas pārbūvei 188 233 euro un pasākumiem veselības aprūpes kapacitātes stip</w:t>
      </w:r>
      <w:r w:rsidR="004432A2">
        <w:rPr>
          <w:rFonts w:cstheme="minorHAnsi"/>
        </w:rPr>
        <w:t>r</w:t>
      </w:r>
      <w:r>
        <w:rPr>
          <w:rFonts w:cstheme="minorHAnsi"/>
        </w:rPr>
        <w:t>ināšanai COVID-19 pacientu ārstēšanas procesā, izvēršot papildus intensīvās terapijas gultas un nodrošinot papildu medicīn</w:t>
      </w:r>
      <w:r w:rsidR="004432A2">
        <w:rPr>
          <w:rFonts w:cstheme="minorHAnsi"/>
        </w:rPr>
        <w:t>i</w:t>
      </w:r>
      <w:r>
        <w:rPr>
          <w:rFonts w:cstheme="minorHAnsi"/>
        </w:rPr>
        <w:t>skās iekārtas pacientu ārstēšanai</w:t>
      </w:r>
      <w:r w:rsidR="004432A2">
        <w:rPr>
          <w:rFonts w:cstheme="minorHAnsi"/>
        </w:rPr>
        <w:t xml:space="preserve"> 174 128 euro ( pacienta vitālo funkciju monitori 2gab; pirksta pulsa oksimetrs 10gab; skābekļa koncentrators 2gab; rentgena aparāts; dezinfekcijas iekārta; recirkulators telpas dezinfekcijai 2gab.)</w:t>
      </w:r>
      <w:r>
        <w:rPr>
          <w:rFonts w:cstheme="minorHAnsi"/>
        </w:rPr>
        <w:t xml:space="preserve"> </w:t>
      </w:r>
    </w:p>
    <w:p w14:paraId="6D09A686" w14:textId="1197E9DA" w:rsidR="002978D0" w:rsidRPr="003D07A2" w:rsidRDefault="008D79D0" w:rsidP="002978D0">
      <w:pPr>
        <w:spacing w:after="0"/>
        <w:rPr>
          <w:rFonts w:cstheme="minorHAnsi"/>
          <w:b/>
          <w:bCs/>
        </w:rPr>
      </w:pPr>
      <w:r w:rsidRPr="003D07A2">
        <w:rPr>
          <w:rFonts w:cstheme="minorHAnsi"/>
          <w:b/>
          <w:bCs/>
        </w:rPr>
        <w:t>Veselības aprūpes pakalpojumu īstenošana</w:t>
      </w:r>
    </w:p>
    <w:p w14:paraId="2EE7C50D" w14:textId="71B12EA6" w:rsidR="002978D0" w:rsidRPr="003D07A2" w:rsidRDefault="009C2945" w:rsidP="00FA2AE6">
      <w:pPr>
        <w:spacing w:before="100" w:beforeAutospacing="1" w:after="100" w:afterAutospacing="1"/>
        <w:jc w:val="both"/>
        <w:rPr>
          <w:rFonts w:cstheme="minorHAnsi"/>
        </w:rPr>
      </w:pPr>
      <w:r w:rsidRPr="003D07A2">
        <w:rPr>
          <w:rFonts w:cstheme="minorHAnsi"/>
        </w:rPr>
        <w:t>VSIA “Slimnīca “Ģintermuiža””</w:t>
      </w:r>
      <w:r w:rsidR="00C06C05" w:rsidRPr="003D07A2">
        <w:rPr>
          <w:rFonts w:cstheme="minorHAnsi"/>
        </w:rPr>
        <w:t xml:space="preserve"> </w:t>
      </w:r>
      <w:r w:rsidRPr="003D07A2">
        <w:rPr>
          <w:rFonts w:cstheme="minorHAnsi"/>
        </w:rPr>
        <w:t>2020. -</w:t>
      </w:r>
      <w:r w:rsidR="00F45722" w:rsidRPr="003D07A2">
        <w:rPr>
          <w:rFonts w:cstheme="minorHAnsi"/>
        </w:rPr>
        <w:t xml:space="preserve"> </w:t>
      </w:r>
      <w:r w:rsidRPr="003D07A2">
        <w:rPr>
          <w:rFonts w:cstheme="minorHAnsi"/>
        </w:rPr>
        <w:t>2022. gada darbības stratēģiskais mērķis ir saglabāt, uzlabot un atjaunot iedzīvotāju psihisko veselību, nodrošinot kvalitatīvu, efektīvu, uz pacientu vērstu psihiatrijas un narkoloģijas pakalpojumu sniegšanu Zemgales un Kurzemes reģiona iedzīvotājiem, tajā skaitā bērniem.</w:t>
      </w:r>
    </w:p>
    <w:p w14:paraId="0C7F5493" w14:textId="0A0541FD" w:rsidR="001739AA" w:rsidRPr="003D07A2" w:rsidRDefault="006B69E7" w:rsidP="00FA2AE6">
      <w:pPr>
        <w:spacing w:before="100" w:beforeAutospacing="1" w:after="100" w:afterAutospacing="1"/>
        <w:jc w:val="both"/>
        <w:rPr>
          <w:rFonts w:cstheme="minorHAnsi"/>
        </w:rPr>
      </w:pPr>
      <w:r w:rsidRPr="003D07A2">
        <w:rPr>
          <w:rFonts w:cstheme="minorHAnsi"/>
        </w:rPr>
        <w:t xml:space="preserve">Slimnīca saskaņā ar noslēgto līgumu ar </w:t>
      </w:r>
      <w:r w:rsidR="001579A3" w:rsidRPr="003D07A2">
        <w:rPr>
          <w:rFonts w:cstheme="minorHAnsi"/>
        </w:rPr>
        <w:t>N</w:t>
      </w:r>
      <w:r w:rsidRPr="003D07A2">
        <w:rPr>
          <w:rFonts w:cstheme="minorHAnsi"/>
        </w:rPr>
        <w:t xml:space="preserve">acionālo veselības dienestu saņem fiksēto maksājumu par uzņemšanas nodaļas darbību un piemaksu par observācijas gultu uzturēšanu. Pārskata periodā </w:t>
      </w:r>
      <w:r w:rsidR="005362F9">
        <w:rPr>
          <w:rFonts w:cstheme="minorHAnsi"/>
        </w:rPr>
        <w:t>770</w:t>
      </w:r>
      <w:r w:rsidRPr="003D07A2">
        <w:rPr>
          <w:rFonts w:cstheme="minorHAnsi"/>
        </w:rPr>
        <w:t xml:space="preserve"> pacienti vērsušies uzņemšanas nodaļā pēc medicīniskās palīdzības, no tiem </w:t>
      </w:r>
      <w:r w:rsidR="005362F9">
        <w:rPr>
          <w:rFonts w:cstheme="minorHAnsi"/>
        </w:rPr>
        <w:t>5</w:t>
      </w:r>
      <w:r w:rsidRPr="003D07A2">
        <w:rPr>
          <w:rFonts w:cstheme="minorHAnsi"/>
        </w:rPr>
        <w:t xml:space="preserve"> sniegta neatliekamā medicīniskā palīdzība un tie novirzīti turpmākai ambulatorai ārstēšanai. </w:t>
      </w:r>
      <w:r w:rsidR="005362F9" w:rsidRPr="005362F9">
        <w:rPr>
          <w:rFonts w:cstheme="minorHAnsi"/>
        </w:rPr>
        <w:t xml:space="preserve">COVID 19 dēļ telpu resursi observācijai bija ierobežoti </w:t>
      </w:r>
      <w:r w:rsidR="005362F9">
        <w:rPr>
          <w:rFonts w:cstheme="minorHAnsi"/>
        </w:rPr>
        <w:t>(t</w:t>
      </w:r>
      <w:r w:rsidR="005362F9" w:rsidRPr="005362F9">
        <w:rPr>
          <w:rFonts w:cstheme="minorHAnsi"/>
        </w:rPr>
        <w:t>elpu resursu nepietiekamība sakarā ar nepieciešamo pacientu tranzītzonas izveidi</w:t>
      </w:r>
      <w:r w:rsidR="005362F9">
        <w:rPr>
          <w:rFonts w:cstheme="minorHAnsi"/>
        </w:rPr>
        <w:t xml:space="preserve"> - n</w:t>
      </w:r>
      <w:r w:rsidR="005362F9" w:rsidRPr="005362F9">
        <w:rPr>
          <w:rFonts w:cstheme="minorHAnsi"/>
        </w:rPr>
        <w:t>epieciešams izolēt pacientu grupas-bērni/ psihiatriskie vīrieši/ psihiatriskās sievietes/ narkoloģijas vīrieši/ narkoloģijas sievietes/ gerontopsihiatrija</w:t>
      </w:r>
      <w:r w:rsidR="005362F9">
        <w:rPr>
          <w:rFonts w:cstheme="minorHAnsi"/>
        </w:rPr>
        <w:t>) un tikai</w:t>
      </w:r>
      <w:r w:rsidR="005362F9" w:rsidRPr="005362F9">
        <w:rPr>
          <w:rFonts w:cstheme="minorHAnsi"/>
        </w:rPr>
        <w:t xml:space="preserve"> </w:t>
      </w:r>
      <w:r w:rsidR="005362F9">
        <w:rPr>
          <w:rFonts w:cstheme="minorHAnsi"/>
        </w:rPr>
        <w:t>7</w:t>
      </w:r>
      <w:r w:rsidRPr="003D07A2">
        <w:rPr>
          <w:rFonts w:cstheme="minorHAnsi"/>
        </w:rPr>
        <w:t xml:space="preserve"> pacientiem nodrošināts observācijas pakalpojums, no tiem </w:t>
      </w:r>
      <w:r w:rsidR="006B7F89" w:rsidRPr="003D07A2">
        <w:rPr>
          <w:rFonts w:cstheme="minorHAnsi"/>
        </w:rPr>
        <w:t>2</w:t>
      </w:r>
      <w:r w:rsidRPr="003D07A2">
        <w:rPr>
          <w:rFonts w:cstheme="minorHAnsi"/>
        </w:rPr>
        <w:t xml:space="preserve"> pēc observācijas stacionēti diennakts stacionārā.</w:t>
      </w:r>
      <w:r w:rsidR="002239F0" w:rsidRPr="003D07A2">
        <w:rPr>
          <w:rFonts w:cstheme="minorHAnsi"/>
        </w:rPr>
        <w:t xml:space="preserve"> </w:t>
      </w:r>
    </w:p>
    <w:p w14:paraId="0BDC3E82" w14:textId="327FDC10" w:rsidR="006B69E7" w:rsidRPr="003D07A2" w:rsidRDefault="002239F0" w:rsidP="00FA2AE6">
      <w:pPr>
        <w:spacing w:before="100" w:beforeAutospacing="1" w:after="100" w:afterAutospacing="1"/>
        <w:jc w:val="both"/>
        <w:rPr>
          <w:rFonts w:cstheme="minorHAnsi"/>
        </w:rPr>
      </w:pPr>
      <w:r w:rsidRPr="003D07A2">
        <w:rPr>
          <w:rFonts w:cstheme="minorHAnsi"/>
        </w:rPr>
        <w:t>2021.gada diennakts stacionāra statistiskie rādītāji būtiski atšķiras no 20</w:t>
      </w:r>
      <w:r w:rsidR="005362F9">
        <w:rPr>
          <w:rFonts w:cstheme="minorHAnsi"/>
        </w:rPr>
        <w:t>20</w:t>
      </w:r>
      <w:r w:rsidRPr="003D07A2">
        <w:rPr>
          <w:rFonts w:cstheme="minorHAnsi"/>
        </w:rPr>
        <w:t>.gada un plānotajiem rādītājiem. To ietekmēja ārkārtējās situācijas sakarā ar COVID-19 izplatību rudens – ziemas</w:t>
      </w:r>
      <w:r w:rsidR="005362F9">
        <w:rPr>
          <w:rFonts w:cstheme="minorHAnsi"/>
        </w:rPr>
        <w:t xml:space="preserve"> - pavasara</w:t>
      </w:r>
      <w:r w:rsidRPr="003D07A2">
        <w:rPr>
          <w:rFonts w:cstheme="minorHAnsi"/>
        </w:rPr>
        <w:t xml:space="preserve"> periodā.</w:t>
      </w:r>
    </w:p>
    <w:p w14:paraId="2FEBF68C" w14:textId="7B9FDCF3" w:rsidR="00BA356A" w:rsidRPr="003D07A2" w:rsidRDefault="007B2D77" w:rsidP="00FA2AE6">
      <w:pPr>
        <w:spacing w:before="100" w:beforeAutospacing="1" w:after="100" w:afterAutospacing="1"/>
        <w:jc w:val="center"/>
        <w:rPr>
          <w:rFonts w:cstheme="minorHAnsi"/>
          <w:b/>
          <w:bCs/>
        </w:rPr>
      </w:pPr>
      <w:r w:rsidRPr="003D07A2">
        <w:rPr>
          <w:rFonts w:cstheme="minorHAnsi"/>
          <w:b/>
          <w:bCs/>
        </w:rPr>
        <w:t>Diennakts stacionāra līguma izpilde</w:t>
      </w:r>
    </w:p>
    <w:tbl>
      <w:tblPr>
        <w:tblStyle w:val="Reatabula"/>
        <w:tblW w:w="8589" w:type="dxa"/>
        <w:tblLook w:val="04A0" w:firstRow="1" w:lastRow="0" w:firstColumn="1" w:lastColumn="0" w:noHBand="0" w:noVBand="1"/>
      </w:tblPr>
      <w:tblGrid>
        <w:gridCol w:w="3150"/>
        <w:gridCol w:w="1381"/>
        <w:gridCol w:w="1418"/>
        <w:gridCol w:w="1482"/>
        <w:gridCol w:w="1158"/>
      </w:tblGrid>
      <w:tr w:rsidR="00137EBF" w:rsidRPr="003D07A2" w14:paraId="430C70E7" w14:textId="77777777" w:rsidTr="0046609C">
        <w:trPr>
          <w:trHeight w:val="530"/>
        </w:trPr>
        <w:tc>
          <w:tcPr>
            <w:tcW w:w="3150" w:type="dxa"/>
            <w:hideMark/>
          </w:tcPr>
          <w:p w14:paraId="0A5E18ED" w14:textId="77777777" w:rsidR="00137EBF" w:rsidRPr="003D07A2" w:rsidRDefault="00137EBF" w:rsidP="003747C0">
            <w:pPr>
              <w:spacing w:line="276" w:lineRule="auto"/>
              <w:jc w:val="center"/>
              <w:rPr>
                <w:rFonts w:eastAsia="Times New Roman" w:cstheme="minorHAnsi"/>
                <w:color w:val="000000"/>
                <w:lang w:eastAsia="lv-LV"/>
              </w:rPr>
            </w:pPr>
            <w:r w:rsidRPr="003D07A2">
              <w:rPr>
                <w:rFonts w:eastAsia="Times New Roman" w:cstheme="minorHAnsi"/>
                <w:color w:val="000000"/>
                <w:lang w:eastAsia="lv-LV"/>
              </w:rPr>
              <w:t>NVD līguma stacionārās veselības aprūpes programmas</w:t>
            </w:r>
          </w:p>
        </w:tc>
        <w:tc>
          <w:tcPr>
            <w:tcW w:w="1381" w:type="dxa"/>
          </w:tcPr>
          <w:p w14:paraId="56EEFB30" w14:textId="05B4DE65" w:rsidR="00137EBF" w:rsidRPr="003D07A2" w:rsidRDefault="00137EBF" w:rsidP="003747C0">
            <w:pPr>
              <w:spacing w:line="276" w:lineRule="auto"/>
              <w:jc w:val="center"/>
              <w:rPr>
                <w:rFonts w:eastAsia="Times New Roman" w:cstheme="minorHAnsi"/>
                <w:color w:val="000000"/>
                <w:lang w:eastAsia="lv-LV"/>
              </w:rPr>
            </w:pPr>
            <w:r w:rsidRPr="003D07A2">
              <w:rPr>
                <w:rFonts w:eastAsia="Times New Roman" w:cstheme="minorHAnsi"/>
                <w:color w:val="000000"/>
                <w:lang w:eastAsia="lv-LV"/>
              </w:rPr>
              <w:t>Faktiski ārstēto pacientu skaits 20</w:t>
            </w:r>
            <w:r w:rsidR="005362F9">
              <w:rPr>
                <w:rFonts w:eastAsia="Times New Roman" w:cstheme="minorHAnsi"/>
                <w:color w:val="000000"/>
                <w:lang w:eastAsia="lv-LV"/>
              </w:rPr>
              <w:t>20</w:t>
            </w:r>
            <w:r w:rsidRPr="003D07A2">
              <w:rPr>
                <w:rFonts w:eastAsia="Times New Roman" w:cstheme="minorHAnsi"/>
                <w:color w:val="000000"/>
                <w:lang w:eastAsia="lv-LV"/>
              </w:rPr>
              <w:t>.gadā</w:t>
            </w:r>
          </w:p>
        </w:tc>
        <w:tc>
          <w:tcPr>
            <w:tcW w:w="1418" w:type="dxa"/>
            <w:hideMark/>
          </w:tcPr>
          <w:p w14:paraId="29273808" w14:textId="056EB5D8" w:rsidR="00137EBF" w:rsidRPr="003D07A2" w:rsidRDefault="00137EBF" w:rsidP="003747C0">
            <w:pPr>
              <w:spacing w:line="276" w:lineRule="auto"/>
              <w:jc w:val="center"/>
              <w:rPr>
                <w:rFonts w:eastAsia="Times New Roman" w:cstheme="minorHAnsi"/>
                <w:color w:val="000000"/>
                <w:lang w:eastAsia="lv-LV"/>
              </w:rPr>
            </w:pPr>
            <w:r w:rsidRPr="003D07A2">
              <w:rPr>
                <w:rFonts w:eastAsia="Times New Roman" w:cstheme="minorHAnsi"/>
                <w:color w:val="000000"/>
                <w:lang w:eastAsia="lv-LV"/>
              </w:rPr>
              <w:t>Plānotais pacientu skaits līgumā 202</w:t>
            </w:r>
            <w:r w:rsidR="005362F9">
              <w:rPr>
                <w:rFonts w:eastAsia="Times New Roman" w:cstheme="minorHAnsi"/>
                <w:color w:val="000000"/>
                <w:lang w:eastAsia="lv-LV"/>
              </w:rPr>
              <w:t>1</w:t>
            </w:r>
            <w:r w:rsidRPr="003D07A2">
              <w:rPr>
                <w:rFonts w:eastAsia="Times New Roman" w:cstheme="minorHAnsi"/>
                <w:color w:val="000000"/>
                <w:lang w:eastAsia="lv-LV"/>
              </w:rPr>
              <w:t xml:space="preserve">.gadā </w:t>
            </w:r>
          </w:p>
        </w:tc>
        <w:tc>
          <w:tcPr>
            <w:tcW w:w="1482" w:type="dxa"/>
          </w:tcPr>
          <w:p w14:paraId="609D4B58" w14:textId="36DF915C" w:rsidR="00137EBF" w:rsidRPr="003D07A2" w:rsidRDefault="00137EBF" w:rsidP="003747C0">
            <w:pPr>
              <w:spacing w:line="276" w:lineRule="auto"/>
              <w:jc w:val="center"/>
              <w:rPr>
                <w:rFonts w:eastAsia="Times New Roman" w:cstheme="minorHAnsi"/>
                <w:color w:val="000000"/>
                <w:lang w:eastAsia="lv-LV"/>
              </w:rPr>
            </w:pPr>
            <w:r w:rsidRPr="003D07A2">
              <w:rPr>
                <w:rFonts w:eastAsia="Times New Roman" w:cstheme="minorHAnsi"/>
                <w:color w:val="000000"/>
                <w:lang w:eastAsia="lv-LV"/>
              </w:rPr>
              <w:t>Faktiski ārstēto pacientu skaits 202</w:t>
            </w:r>
            <w:r w:rsidR="005362F9">
              <w:rPr>
                <w:rFonts w:eastAsia="Times New Roman" w:cstheme="minorHAnsi"/>
                <w:color w:val="000000"/>
                <w:lang w:eastAsia="lv-LV"/>
              </w:rPr>
              <w:t>1</w:t>
            </w:r>
            <w:r w:rsidRPr="003D07A2">
              <w:rPr>
                <w:rFonts w:eastAsia="Times New Roman" w:cstheme="minorHAnsi"/>
                <w:color w:val="000000"/>
                <w:lang w:eastAsia="lv-LV"/>
              </w:rPr>
              <w:t>.gadā</w:t>
            </w:r>
          </w:p>
        </w:tc>
        <w:tc>
          <w:tcPr>
            <w:tcW w:w="1158" w:type="dxa"/>
          </w:tcPr>
          <w:p w14:paraId="0D6050E7" w14:textId="2200B330" w:rsidR="00137EBF" w:rsidRPr="003D07A2" w:rsidRDefault="00137EBF" w:rsidP="003747C0">
            <w:pPr>
              <w:spacing w:line="276" w:lineRule="auto"/>
              <w:jc w:val="center"/>
              <w:rPr>
                <w:rFonts w:eastAsia="Times New Roman" w:cstheme="minorHAnsi"/>
                <w:color w:val="000000"/>
                <w:lang w:eastAsia="lv-LV"/>
              </w:rPr>
            </w:pPr>
            <w:r w:rsidRPr="003D07A2">
              <w:rPr>
                <w:rFonts w:cstheme="minorHAnsi"/>
              </w:rPr>
              <w:t>Novirze pret 20</w:t>
            </w:r>
            <w:r w:rsidR="005362F9">
              <w:rPr>
                <w:rFonts w:cstheme="minorHAnsi"/>
              </w:rPr>
              <w:t>20</w:t>
            </w:r>
            <w:r w:rsidRPr="003D07A2">
              <w:rPr>
                <w:rFonts w:cstheme="minorHAnsi"/>
              </w:rPr>
              <w:t>.gadu</w:t>
            </w:r>
          </w:p>
        </w:tc>
      </w:tr>
      <w:tr w:rsidR="00137EBF" w:rsidRPr="003D07A2" w14:paraId="50B444D8" w14:textId="77777777" w:rsidTr="0046609C">
        <w:trPr>
          <w:trHeight w:val="427"/>
        </w:trPr>
        <w:tc>
          <w:tcPr>
            <w:tcW w:w="3150" w:type="dxa"/>
            <w:vAlign w:val="center"/>
            <w:hideMark/>
          </w:tcPr>
          <w:p w14:paraId="4F543698" w14:textId="77777777" w:rsidR="00137EBF" w:rsidRPr="003D07A2" w:rsidRDefault="00137EBF" w:rsidP="003747C0">
            <w:pPr>
              <w:spacing w:line="276" w:lineRule="auto"/>
              <w:rPr>
                <w:rFonts w:eastAsia="Times New Roman" w:cstheme="minorHAnsi"/>
                <w:color w:val="000000"/>
                <w:lang w:eastAsia="lv-LV"/>
              </w:rPr>
            </w:pPr>
            <w:r w:rsidRPr="003D07A2">
              <w:rPr>
                <w:rFonts w:eastAsia="Times New Roman" w:cstheme="minorHAnsi"/>
                <w:color w:val="000000"/>
                <w:lang w:eastAsia="lv-LV"/>
              </w:rPr>
              <w:t>Psihiatriskā palīdzība, tai skaitā pēc tiesas lēmuma</w:t>
            </w:r>
          </w:p>
        </w:tc>
        <w:tc>
          <w:tcPr>
            <w:tcW w:w="1381" w:type="dxa"/>
            <w:vAlign w:val="center"/>
          </w:tcPr>
          <w:p w14:paraId="6CBF358A" w14:textId="672CB6E5"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535</w:t>
            </w:r>
          </w:p>
        </w:tc>
        <w:tc>
          <w:tcPr>
            <w:tcW w:w="1418" w:type="dxa"/>
            <w:vAlign w:val="center"/>
          </w:tcPr>
          <w:p w14:paraId="7E75E48B" w14:textId="4D38E0E7" w:rsidR="00137EBF" w:rsidRPr="003D07A2" w:rsidRDefault="0046609C" w:rsidP="003747C0">
            <w:pPr>
              <w:spacing w:line="276" w:lineRule="auto"/>
              <w:jc w:val="center"/>
              <w:rPr>
                <w:rFonts w:eastAsia="Times New Roman" w:cstheme="minorHAnsi"/>
                <w:lang w:eastAsia="lv-LV"/>
              </w:rPr>
            </w:pPr>
            <w:r>
              <w:rPr>
                <w:rFonts w:eastAsia="Times New Roman" w:cstheme="minorHAnsi"/>
                <w:lang w:eastAsia="lv-LV"/>
              </w:rPr>
              <w:t>564</w:t>
            </w:r>
          </w:p>
        </w:tc>
        <w:tc>
          <w:tcPr>
            <w:tcW w:w="1482" w:type="dxa"/>
            <w:vAlign w:val="center"/>
          </w:tcPr>
          <w:p w14:paraId="0BCD9A9E" w14:textId="601F44CD"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357</w:t>
            </w:r>
          </w:p>
        </w:tc>
        <w:tc>
          <w:tcPr>
            <w:tcW w:w="1158" w:type="dxa"/>
            <w:vAlign w:val="center"/>
          </w:tcPr>
          <w:p w14:paraId="69B14516" w14:textId="1DB5234B"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-178</w:t>
            </w:r>
          </w:p>
        </w:tc>
      </w:tr>
      <w:tr w:rsidR="00137EBF" w:rsidRPr="003D07A2" w14:paraId="1ACACFEF" w14:textId="77777777" w:rsidTr="0046609C">
        <w:trPr>
          <w:trHeight w:val="179"/>
        </w:trPr>
        <w:tc>
          <w:tcPr>
            <w:tcW w:w="3150" w:type="dxa"/>
            <w:vAlign w:val="center"/>
            <w:hideMark/>
          </w:tcPr>
          <w:p w14:paraId="2EC1E2DE" w14:textId="77777777" w:rsidR="00137EBF" w:rsidRPr="003D07A2" w:rsidRDefault="00137EBF" w:rsidP="003747C0">
            <w:pPr>
              <w:spacing w:line="276" w:lineRule="auto"/>
              <w:rPr>
                <w:rFonts w:eastAsia="Times New Roman" w:cstheme="minorHAnsi"/>
                <w:color w:val="000000"/>
                <w:lang w:eastAsia="lv-LV"/>
              </w:rPr>
            </w:pPr>
            <w:r w:rsidRPr="003D07A2">
              <w:rPr>
                <w:rFonts w:eastAsia="Times New Roman" w:cstheme="minorHAnsi"/>
                <w:color w:val="000000"/>
                <w:lang w:eastAsia="lv-LV"/>
              </w:rPr>
              <w:t>Psihiatriskā palīdzība bērniem</w:t>
            </w:r>
          </w:p>
        </w:tc>
        <w:tc>
          <w:tcPr>
            <w:tcW w:w="1381" w:type="dxa"/>
            <w:vAlign w:val="center"/>
          </w:tcPr>
          <w:p w14:paraId="5F2934AA" w14:textId="70853980"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112</w:t>
            </w:r>
          </w:p>
        </w:tc>
        <w:tc>
          <w:tcPr>
            <w:tcW w:w="1418" w:type="dxa"/>
            <w:vAlign w:val="center"/>
          </w:tcPr>
          <w:p w14:paraId="4AD64BAD" w14:textId="45174ACA" w:rsidR="00137EBF" w:rsidRPr="003D07A2" w:rsidRDefault="0046609C" w:rsidP="003747C0">
            <w:pPr>
              <w:spacing w:line="276" w:lineRule="auto"/>
              <w:jc w:val="center"/>
              <w:rPr>
                <w:rFonts w:eastAsia="Times New Roman" w:cstheme="minorHAnsi"/>
                <w:lang w:eastAsia="lv-LV"/>
              </w:rPr>
            </w:pPr>
            <w:r>
              <w:rPr>
                <w:rFonts w:eastAsia="Times New Roman" w:cstheme="minorHAnsi"/>
                <w:lang w:eastAsia="lv-LV"/>
              </w:rPr>
              <w:t>75</w:t>
            </w:r>
          </w:p>
        </w:tc>
        <w:tc>
          <w:tcPr>
            <w:tcW w:w="1482" w:type="dxa"/>
            <w:vAlign w:val="center"/>
          </w:tcPr>
          <w:p w14:paraId="1A221799" w14:textId="407801C3"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82</w:t>
            </w:r>
          </w:p>
        </w:tc>
        <w:tc>
          <w:tcPr>
            <w:tcW w:w="1158" w:type="dxa"/>
            <w:vAlign w:val="center"/>
          </w:tcPr>
          <w:p w14:paraId="28F003B4" w14:textId="6BB95B5B"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-30</w:t>
            </w:r>
          </w:p>
        </w:tc>
      </w:tr>
      <w:tr w:rsidR="00137EBF" w:rsidRPr="003D07A2" w14:paraId="21C00247" w14:textId="77777777" w:rsidTr="0046609C">
        <w:trPr>
          <w:trHeight w:val="156"/>
        </w:trPr>
        <w:tc>
          <w:tcPr>
            <w:tcW w:w="3150" w:type="dxa"/>
            <w:vAlign w:val="center"/>
            <w:hideMark/>
          </w:tcPr>
          <w:p w14:paraId="7197B87F" w14:textId="77777777" w:rsidR="00137EBF" w:rsidRPr="003D07A2" w:rsidRDefault="00137EBF" w:rsidP="003747C0">
            <w:pPr>
              <w:spacing w:line="276" w:lineRule="auto"/>
              <w:rPr>
                <w:rFonts w:eastAsia="Times New Roman" w:cstheme="minorHAnsi"/>
                <w:color w:val="000000"/>
                <w:lang w:eastAsia="lv-LV"/>
              </w:rPr>
            </w:pPr>
            <w:r w:rsidRPr="003D07A2">
              <w:rPr>
                <w:rFonts w:eastAsia="Times New Roman" w:cstheme="minorHAnsi"/>
                <w:color w:val="000000"/>
                <w:lang w:eastAsia="lv-LV"/>
              </w:rPr>
              <w:t>Narkoloģija</w:t>
            </w:r>
          </w:p>
        </w:tc>
        <w:tc>
          <w:tcPr>
            <w:tcW w:w="1381" w:type="dxa"/>
            <w:vAlign w:val="center"/>
          </w:tcPr>
          <w:p w14:paraId="648DD493" w14:textId="4DDB369D"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135</w:t>
            </w:r>
          </w:p>
        </w:tc>
        <w:tc>
          <w:tcPr>
            <w:tcW w:w="1418" w:type="dxa"/>
            <w:vAlign w:val="center"/>
          </w:tcPr>
          <w:p w14:paraId="3020EFBC" w14:textId="221FCAE0" w:rsidR="00137EBF" w:rsidRPr="003D07A2" w:rsidRDefault="0046609C" w:rsidP="003747C0">
            <w:pPr>
              <w:spacing w:line="276" w:lineRule="auto"/>
              <w:jc w:val="center"/>
              <w:rPr>
                <w:rFonts w:eastAsia="Times New Roman" w:cstheme="minorHAnsi"/>
                <w:lang w:eastAsia="lv-LV"/>
              </w:rPr>
            </w:pPr>
            <w:r>
              <w:rPr>
                <w:rFonts w:eastAsia="Times New Roman" w:cstheme="minorHAnsi"/>
                <w:lang w:eastAsia="lv-LV"/>
              </w:rPr>
              <w:t>136</w:t>
            </w:r>
          </w:p>
        </w:tc>
        <w:tc>
          <w:tcPr>
            <w:tcW w:w="1482" w:type="dxa"/>
            <w:vAlign w:val="center"/>
          </w:tcPr>
          <w:p w14:paraId="7A99BB16" w14:textId="42268646"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110</w:t>
            </w:r>
          </w:p>
        </w:tc>
        <w:tc>
          <w:tcPr>
            <w:tcW w:w="1158" w:type="dxa"/>
            <w:vAlign w:val="center"/>
          </w:tcPr>
          <w:p w14:paraId="76AB393E" w14:textId="4F38F343"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-25</w:t>
            </w:r>
          </w:p>
        </w:tc>
      </w:tr>
      <w:tr w:rsidR="00137EBF" w:rsidRPr="003D07A2" w14:paraId="2C23E992" w14:textId="77777777" w:rsidTr="0046609C">
        <w:trPr>
          <w:trHeight w:val="331"/>
        </w:trPr>
        <w:tc>
          <w:tcPr>
            <w:tcW w:w="3150" w:type="dxa"/>
            <w:vAlign w:val="center"/>
            <w:hideMark/>
          </w:tcPr>
          <w:p w14:paraId="5E240FEB" w14:textId="77777777" w:rsidR="00137EBF" w:rsidRPr="003D07A2" w:rsidRDefault="00137EBF" w:rsidP="003747C0">
            <w:pPr>
              <w:spacing w:line="276" w:lineRule="auto"/>
              <w:rPr>
                <w:rFonts w:eastAsia="Times New Roman" w:cstheme="minorHAnsi"/>
                <w:color w:val="000000"/>
                <w:lang w:eastAsia="lv-LV"/>
              </w:rPr>
            </w:pPr>
            <w:r w:rsidRPr="003D07A2">
              <w:rPr>
                <w:rFonts w:eastAsia="Times New Roman" w:cstheme="minorHAnsi"/>
                <w:color w:val="000000"/>
                <w:lang w:eastAsia="lv-LV"/>
              </w:rPr>
              <w:t>Narkomānu rehabilitācija stacionārā (pieaugušajiem)</w:t>
            </w:r>
          </w:p>
        </w:tc>
        <w:tc>
          <w:tcPr>
            <w:tcW w:w="1381" w:type="dxa"/>
            <w:vAlign w:val="center"/>
          </w:tcPr>
          <w:p w14:paraId="28839811" w14:textId="6DCB12A7"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2</w:t>
            </w:r>
          </w:p>
        </w:tc>
        <w:tc>
          <w:tcPr>
            <w:tcW w:w="1418" w:type="dxa"/>
            <w:vAlign w:val="center"/>
          </w:tcPr>
          <w:p w14:paraId="5B6D9B04" w14:textId="38B6A607" w:rsidR="00137EBF" w:rsidRPr="003D07A2" w:rsidRDefault="0046609C" w:rsidP="003747C0">
            <w:pPr>
              <w:spacing w:line="276" w:lineRule="auto"/>
              <w:jc w:val="center"/>
              <w:rPr>
                <w:rFonts w:eastAsia="Times New Roman" w:cstheme="minorHAnsi"/>
                <w:lang w:eastAsia="lv-LV"/>
              </w:rPr>
            </w:pPr>
            <w:r>
              <w:rPr>
                <w:rFonts w:eastAsia="Times New Roman" w:cstheme="minorHAnsi"/>
                <w:lang w:eastAsia="lv-LV"/>
              </w:rPr>
              <w:t>4</w:t>
            </w:r>
          </w:p>
        </w:tc>
        <w:tc>
          <w:tcPr>
            <w:tcW w:w="1482" w:type="dxa"/>
            <w:vAlign w:val="center"/>
          </w:tcPr>
          <w:p w14:paraId="16E0D64D" w14:textId="68103A2A"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7</w:t>
            </w:r>
          </w:p>
        </w:tc>
        <w:tc>
          <w:tcPr>
            <w:tcW w:w="1158" w:type="dxa"/>
            <w:vAlign w:val="center"/>
          </w:tcPr>
          <w:p w14:paraId="4A8A0663" w14:textId="67347488"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+5</w:t>
            </w:r>
          </w:p>
        </w:tc>
      </w:tr>
      <w:tr w:rsidR="00137EBF" w:rsidRPr="003D07A2" w14:paraId="05E38A06" w14:textId="77777777" w:rsidTr="0046609C">
        <w:trPr>
          <w:trHeight w:val="495"/>
        </w:trPr>
        <w:tc>
          <w:tcPr>
            <w:tcW w:w="3150" w:type="dxa"/>
            <w:vAlign w:val="center"/>
            <w:hideMark/>
          </w:tcPr>
          <w:p w14:paraId="78C44533" w14:textId="39B857AA" w:rsidR="00137EBF" w:rsidRPr="003D07A2" w:rsidRDefault="00137EBF" w:rsidP="003747C0">
            <w:pPr>
              <w:spacing w:line="276" w:lineRule="auto"/>
              <w:rPr>
                <w:rFonts w:eastAsia="Times New Roman" w:cstheme="minorHAnsi"/>
                <w:color w:val="000000"/>
                <w:lang w:eastAsia="lv-LV"/>
              </w:rPr>
            </w:pPr>
            <w:r w:rsidRPr="003D07A2">
              <w:rPr>
                <w:rFonts w:eastAsia="Times New Roman" w:cstheme="minorHAnsi"/>
                <w:color w:val="000000"/>
                <w:lang w:eastAsia="lv-LV"/>
              </w:rPr>
              <w:t>Narkomānu rehabilitācija</w:t>
            </w:r>
            <w:r w:rsidR="00C06C05" w:rsidRPr="003D07A2">
              <w:rPr>
                <w:rFonts w:eastAsia="Times New Roman" w:cstheme="minorHAnsi"/>
                <w:color w:val="000000"/>
                <w:lang w:eastAsia="lv-LV"/>
              </w:rPr>
              <w:t xml:space="preserve"> </w:t>
            </w:r>
            <w:r w:rsidRPr="003D07A2">
              <w:rPr>
                <w:rFonts w:eastAsia="Times New Roman" w:cstheme="minorHAnsi"/>
                <w:color w:val="000000"/>
                <w:lang w:eastAsia="lv-LV"/>
              </w:rPr>
              <w:t>stacionārā bērniem</w:t>
            </w:r>
          </w:p>
        </w:tc>
        <w:tc>
          <w:tcPr>
            <w:tcW w:w="1381" w:type="dxa"/>
            <w:vAlign w:val="center"/>
          </w:tcPr>
          <w:p w14:paraId="1C9FBA74" w14:textId="2A1F3E09"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15</w:t>
            </w:r>
          </w:p>
        </w:tc>
        <w:tc>
          <w:tcPr>
            <w:tcW w:w="1418" w:type="dxa"/>
            <w:vAlign w:val="center"/>
          </w:tcPr>
          <w:p w14:paraId="36C0B09C" w14:textId="380BF33E" w:rsidR="00137EBF" w:rsidRPr="003D07A2" w:rsidRDefault="0046609C" w:rsidP="003747C0">
            <w:pPr>
              <w:spacing w:line="276" w:lineRule="auto"/>
              <w:jc w:val="center"/>
              <w:rPr>
                <w:rFonts w:eastAsia="Times New Roman" w:cstheme="minorHAnsi"/>
                <w:lang w:eastAsia="lv-LV"/>
              </w:rPr>
            </w:pPr>
            <w:r>
              <w:rPr>
                <w:rFonts w:eastAsia="Times New Roman" w:cstheme="minorHAnsi"/>
                <w:lang w:eastAsia="lv-LV"/>
              </w:rPr>
              <w:t>10</w:t>
            </w:r>
          </w:p>
        </w:tc>
        <w:tc>
          <w:tcPr>
            <w:tcW w:w="1482" w:type="dxa"/>
            <w:vAlign w:val="center"/>
          </w:tcPr>
          <w:p w14:paraId="19441A8E" w14:textId="2B9FA6E8"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10</w:t>
            </w:r>
          </w:p>
        </w:tc>
        <w:tc>
          <w:tcPr>
            <w:tcW w:w="1158" w:type="dxa"/>
            <w:vAlign w:val="center"/>
          </w:tcPr>
          <w:p w14:paraId="64BB70CE" w14:textId="36C89701"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-5</w:t>
            </w:r>
          </w:p>
        </w:tc>
      </w:tr>
      <w:tr w:rsidR="00137EBF" w:rsidRPr="003D07A2" w14:paraId="3507D5E0" w14:textId="77777777" w:rsidTr="0046609C">
        <w:trPr>
          <w:trHeight w:val="517"/>
        </w:trPr>
        <w:tc>
          <w:tcPr>
            <w:tcW w:w="3150" w:type="dxa"/>
            <w:vAlign w:val="center"/>
            <w:hideMark/>
          </w:tcPr>
          <w:p w14:paraId="0532ACF9" w14:textId="77777777" w:rsidR="00137EBF" w:rsidRPr="003D07A2" w:rsidRDefault="00137EBF" w:rsidP="003747C0">
            <w:pPr>
              <w:spacing w:line="276" w:lineRule="auto"/>
              <w:rPr>
                <w:rFonts w:eastAsia="Times New Roman" w:cstheme="minorHAnsi"/>
                <w:color w:val="000000"/>
                <w:lang w:eastAsia="lv-LV"/>
              </w:rPr>
            </w:pPr>
            <w:r w:rsidRPr="003D07A2">
              <w:rPr>
                <w:rFonts w:eastAsia="Times New Roman" w:cstheme="minorHAnsi"/>
                <w:color w:val="000000"/>
                <w:lang w:eastAsia="lv-LV"/>
              </w:rPr>
              <w:t>Obligātā narkoloģiskā palīdzība bērniem pēc bāriņtiesas lēmuma</w:t>
            </w:r>
          </w:p>
        </w:tc>
        <w:tc>
          <w:tcPr>
            <w:tcW w:w="1381" w:type="dxa"/>
            <w:vAlign w:val="center"/>
          </w:tcPr>
          <w:p w14:paraId="0422870E" w14:textId="0B9BAB40"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1</w:t>
            </w:r>
          </w:p>
        </w:tc>
        <w:tc>
          <w:tcPr>
            <w:tcW w:w="1418" w:type="dxa"/>
            <w:vAlign w:val="center"/>
          </w:tcPr>
          <w:p w14:paraId="3BA3D936" w14:textId="3D7F5BA1" w:rsidR="00137EBF" w:rsidRPr="003D07A2" w:rsidRDefault="0046609C" w:rsidP="003747C0">
            <w:pPr>
              <w:spacing w:line="276" w:lineRule="auto"/>
              <w:jc w:val="center"/>
              <w:rPr>
                <w:rFonts w:eastAsia="Times New Roman" w:cstheme="minorHAnsi"/>
                <w:lang w:eastAsia="lv-LV"/>
              </w:rPr>
            </w:pPr>
            <w:r>
              <w:rPr>
                <w:rFonts w:eastAsia="Times New Roman" w:cstheme="minorHAnsi"/>
                <w:lang w:eastAsia="lv-LV"/>
              </w:rPr>
              <w:t>2</w:t>
            </w:r>
          </w:p>
        </w:tc>
        <w:tc>
          <w:tcPr>
            <w:tcW w:w="1482" w:type="dxa"/>
            <w:vAlign w:val="center"/>
          </w:tcPr>
          <w:p w14:paraId="17D0BE24" w14:textId="4A863D40"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3</w:t>
            </w:r>
          </w:p>
        </w:tc>
        <w:tc>
          <w:tcPr>
            <w:tcW w:w="1158" w:type="dxa"/>
            <w:vAlign w:val="center"/>
          </w:tcPr>
          <w:p w14:paraId="3E1B3688" w14:textId="1CD918D4"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+2</w:t>
            </w:r>
          </w:p>
        </w:tc>
      </w:tr>
      <w:tr w:rsidR="00137EBF" w:rsidRPr="003D07A2" w14:paraId="29356831" w14:textId="77777777" w:rsidTr="0046609C">
        <w:trPr>
          <w:trHeight w:val="483"/>
        </w:trPr>
        <w:tc>
          <w:tcPr>
            <w:tcW w:w="3150" w:type="dxa"/>
            <w:vAlign w:val="center"/>
            <w:hideMark/>
          </w:tcPr>
          <w:p w14:paraId="08A4BD62" w14:textId="77777777" w:rsidR="00137EBF" w:rsidRPr="003D07A2" w:rsidRDefault="00137EBF" w:rsidP="003747C0">
            <w:pPr>
              <w:spacing w:line="276" w:lineRule="auto"/>
              <w:rPr>
                <w:rFonts w:eastAsia="Times New Roman" w:cstheme="minorHAnsi"/>
                <w:color w:val="000000"/>
                <w:lang w:eastAsia="lv-LV"/>
              </w:rPr>
            </w:pPr>
            <w:r w:rsidRPr="003D07A2">
              <w:rPr>
                <w:rFonts w:eastAsia="Times New Roman" w:cstheme="minorHAnsi"/>
                <w:color w:val="000000"/>
                <w:lang w:eastAsia="lv-LV"/>
              </w:rPr>
              <w:t>Minesotas programma stacionārā</w:t>
            </w:r>
          </w:p>
        </w:tc>
        <w:tc>
          <w:tcPr>
            <w:tcW w:w="1381" w:type="dxa"/>
            <w:vAlign w:val="center"/>
          </w:tcPr>
          <w:p w14:paraId="33020543" w14:textId="61C40A15"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30</w:t>
            </w:r>
          </w:p>
        </w:tc>
        <w:tc>
          <w:tcPr>
            <w:tcW w:w="1418" w:type="dxa"/>
            <w:vAlign w:val="center"/>
          </w:tcPr>
          <w:p w14:paraId="6F9098B4" w14:textId="26C3A4DB" w:rsidR="00137EBF" w:rsidRPr="003D07A2" w:rsidRDefault="0046609C" w:rsidP="003747C0">
            <w:pPr>
              <w:spacing w:line="276" w:lineRule="auto"/>
              <w:jc w:val="center"/>
              <w:rPr>
                <w:rFonts w:eastAsia="Times New Roman" w:cstheme="minorHAnsi"/>
                <w:lang w:eastAsia="lv-LV"/>
              </w:rPr>
            </w:pPr>
            <w:r>
              <w:rPr>
                <w:rFonts w:eastAsia="Times New Roman" w:cstheme="minorHAnsi"/>
                <w:lang w:eastAsia="lv-LV"/>
              </w:rPr>
              <w:t>31</w:t>
            </w:r>
          </w:p>
        </w:tc>
        <w:tc>
          <w:tcPr>
            <w:tcW w:w="1482" w:type="dxa"/>
            <w:vAlign w:val="center"/>
          </w:tcPr>
          <w:p w14:paraId="193F2888" w14:textId="3829D52F"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31</w:t>
            </w:r>
          </w:p>
        </w:tc>
        <w:tc>
          <w:tcPr>
            <w:tcW w:w="1158" w:type="dxa"/>
            <w:vAlign w:val="center"/>
          </w:tcPr>
          <w:p w14:paraId="270295B1" w14:textId="6CA17CA5"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+1</w:t>
            </w:r>
          </w:p>
        </w:tc>
      </w:tr>
      <w:tr w:rsidR="00137EBF" w:rsidRPr="003D07A2" w14:paraId="40C53A99" w14:textId="77777777" w:rsidTr="0046609C">
        <w:trPr>
          <w:trHeight w:val="185"/>
        </w:trPr>
        <w:tc>
          <w:tcPr>
            <w:tcW w:w="3150" w:type="dxa"/>
            <w:noWrap/>
            <w:vAlign w:val="center"/>
            <w:hideMark/>
          </w:tcPr>
          <w:p w14:paraId="00EADED2" w14:textId="17540D35" w:rsidR="00137EBF" w:rsidRPr="003D07A2" w:rsidRDefault="00137EBF" w:rsidP="003747C0">
            <w:pPr>
              <w:spacing w:line="276" w:lineRule="auto"/>
              <w:rPr>
                <w:rFonts w:eastAsia="Times New Roman" w:cstheme="minorHAnsi"/>
                <w:color w:val="000000"/>
                <w:lang w:eastAsia="lv-LV"/>
              </w:rPr>
            </w:pPr>
            <w:r w:rsidRPr="003D07A2">
              <w:rPr>
                <w:rFonts w:eastAsia="Times New Roman" w:cstheme="minorHAnsi"/>
                <w:color w:val="000000"/>
                <w:lang w:eastAsia="lv-LV"/>
              </w:rPr>
              <w:t>Kopā</w:t>
            </w:r>
          </w:p>
        </w:tc>
        <w:tc>
          <w:tcPr>
            <w:tcW w:w="1381" w:type="dxa"/>
            <w:vAlign w:val="center"/>
          </w:tcPr>
          <w:p w14:paraId="4D72C88C" w14:textId="13988A3D"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830</w:t>
            </w:r>
          </w:p>
        </w:tc>
        <w:tc>
          <w:tcPr>
            <w:tcW w:w="1418" w:type="dxa"/>
            <w:noWrap/>
            <w:vAlign w:val="center"/>
          </w:tcPr>
          <w:p w14:paraId="47848DC8" w14:textId="117DC3C1" w:rsidR="00137EBF" w:rsidRPr="003D07A2" w:rsidRDefault="0046609C" w:rsidP="003747C0">
            <w:pPr>
              <w:spacing w:line="276" w:lineRule="auto"/>
              <w:jc w:val="center"/>
              <w:rPr>
                <w:rFonts w:eastAsia="Times New Roman" w:cstheme="minorHAnsi"/>
                <w:lang w:eastAsia="lv-LV"/>
              </w:rPr>
            </w:pPr>
            <w:r>
              <w:rPr>
                <w:rFonts w:eastAsia="Times New Roman" w:cstheme="minorHAnsi"/>
                <w:lang w:eastAsia="lv-LV"/>
              </w:rPr>
              <w:t>822</w:t>
            </w:r>
          </w:p>
        </w:tc>
        <w:tc>
          <w:tcPr>
            <w:tcW w:w="1482" w:type="dxa"/>
            <w:vAlign w:val="center"/>
          </w:tcPr>
          <w:p w14:paraId="43401EAD" w14:textId="09F7DA23"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600</w:t>
            </w:r>
          </w:p>
        </w:tc>
        <w:tc>
          <w:tcPr>
            <w:tcW w:w="1158" w:type="dxa"/>
            <w:vAlign w:val="center"/>
          </w:tcPr>
          <w:p w14:paraId="0DE5B7B4" w14:textId="09FF21ED"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-230</w:t>
            </w:r>
          </w:p>
        </w:tc>
      </w:tr>
      <w:tr w:rsidR="003328C9" w:rsidRPr="003D07A2" w14:paraId="0011F38B" w14:textId="77777777" w:rsidTr="0046609C">
        <w:trPr>
          <w:trHeight w:val="185"/>
        </w:trPr>
        <w:tc>
          <w:tcPr>
            <w:tcW w:w="3150" w:type="dxa"/>
            <w:noWrap/>
            <w:vAlign w:val="center"/>
          </w:tcPr>
          <w:p w14:paraId="6965E0FD" w14:textId="77777777" w:rsidR="003328C9" w:rsidRPr="003D07A2" w:rsidRDefault="003328C9" w:rsidP="003328C9">
            <w:pPr>
              <w:spacing w:line="276" w:lineRule="auto"/>
              <w:rPr>
                <w:rFonts w:eastAsia="Times New Roman" w:cstheme="minorHAnsi"/>
                <w:color w:val="000000"/>
                <w:lang w:eastAsia="lv-LV"/>
              </w:rPr>
            </w:pPr>
            <w:r w:rsidRPr="003D07A2">
              <w:rPr>
                <w:rFonts w:eastAsia="Times New Roman" w:cstheme="minorHAnsi"/>
                <w:color w:val="000000"/>
                <w:lang w:eastAsia="lv-LV"/>
              </w:rPr>
              <w:t>COVID-19 pacientu ārstēšana</w:t>
            </w:r>
          </w:p>
        </w:tc>
        <w:tc>
          <w:tcPr>
            <w:tcW w:w="1381" w:type="dxa"/>
            <w:vAlign w:val="center"/>
          </w:tcPr>
          <w:p w14:paraId="047528D9" w14:textId="5DFBFF67" w:rsidR="003328C9" w:rsidRPr="003D07A2" w:rsidRDefault="0046609C" w:rsidP="003328C9">
            <w:pPr>
              <w:spacing w:line="276" w:lineRule="auto"/>
              <w:jc w:val="center"/>
              <w:rPr>
                <w:rFonts w:eastAsia="Times New Roman" w:cstheme="minorHAnsi"/>
                <w:color w:val="000000"/>
                <w:lang w:eastAsia="lv-LV"/>
              </w:rPr>
            </w:pPr>
            <w:r>
              <w:rPr>
                <w:rFonts w:eastAsia="Times New Roman" w:cstheme="minorHAnsi"/>
                <w:color w:val="000000"/>
                <w:lang w:eastAsia="lv-LV"/>
              </w:rPr>
              <w:t>0</w:t>
            </w:r>
          </w:p>
        </w:tc>
        <w:tc>
          <w:tcPr>
            <w:tcW w:w="1418" w:type="dxa"/>
            <w:noWrap/>
            <w:vAlign w:val="center"/>
          </w:tcPr>
          <w:p w14:paraId="1DACC5A1" w14:textId="184E8D85" w:rsidR="003328C9" w:rsidRPr="003D07A2" w:rsidRDefault="0046609C" w:rsidP="003328C9">
            <w:pPr>
              <w:spacing w:line="276" w:lineRule="auto"/>
              <w:jc w:val="center"/>
              <w:rPr>
                <w:rFonts w:eastAsia="Times New Roman" w:cstheme="minorHAnsi"/>
                <w:lang w:eastAsia="lv-LV"/>
              </w:rPr>
            </w:pPr>
            <w:r>
              <w:rPr>
                <w:rFonts w:eastAsia="Times New Roman" w:cstheme="minorHAnsi"/>
                <w:lang w:eastAsia="lv-LV"/>
              </w:rPr>
              <w:t>159</w:t>
            </w:r>
          </w:p>
        </w:tc>
        <w:tc>
          <w:tcPr>
            <w:tcW w:w="1482" w:type="dxa"/>
            <w:vAlign w:val="center"/>
          </w:tcPr>
          <w:p w14:paraId="08267F31" w14:textId="7ED0F058" w:rsidR="003328C9" w:rsidRPr="003D07A2" w:rsidRDefault="0046609C" w:rsidP="003328C9">
            <w:pPr>
              <w:spacing w:line="276" w:lineRule="auto"/>
              <w:jc w:val="center"/>
              <w:rPr>
                <w:rFonts w:eastAsia="Times New Roman" w:cstheme="minorHAnsi"/>
                <w:color w:val="000000"/>
                <w:lang w:eastAsia="lv-LV"/>
              </w:rPr>
            </w:pPr>
            <w:r>
              <w:rPr>
                <w:rFonts w:eastAsia="Times New Roman" w:cstheme="minorHAnsi"/>
                <w:color w:val="000000"/>
                <w:lang w:eastAsia="lv-LV"/>
              </w:rPr>
              <w:t>159</w:t>
            </w:r>
          </w:p>
        </w:tc>
        <w:tc>
          <w:tcPr>
            <w:tcW w:w="1158" w:type="dxa"/>
            <w:vAlign w:val="center"/>
          </w:tcPr>
          <w:p w14:paraId="47EA3C23" w14:textId="0CF410D1" w:rsidR="003328C9" w:rsidRPr="003D07A2" w:rsidRDefault="0046609C" w:rsidP="003328C9">
            <w:pPr>
              <w:spacing w:line="276" w:lineRule="auto"/>
              <w:jc w:val="center"/>
              <w:rPr>
                <w:rFonts w:eastAsia="Times New Roman" w:cstheme="minorHAnsi"/>
                <w:color w:val="000000"/>
                <w:lang w:eastAsia="lv-LV"/>
              </w:rPr>
            </w:pPr>
            <w:r>
              <w:rPr>
                <w:rFonts w:eastAsia="Times New Roman" w:cstheme="minorHAnsi"/>
                <w:color w:val="000000"/>
                <w:lang w:eastAsia="lv-LV"/>
              </w:rPr>
              <w:t>+159</w:t>
            </w:r>
          </w:p>
        </w:tc>
      </w:tr>
    </w:tbl>
    <w:p w14:paraId="4BB8D364" w14:textId="5C481F93" w:rsidR="001C5AF4" w:rsidRPr="003D07A2" w:rsidRDefault="007B2D77" w:rsidP="00712DD6">
      <w:pPr>
        <w:spacing w:before="100" w:beforeAutospacing="1" w:after="100" w:afterAutospacing="1"/>
        <w:jc w:val="both"/>
        <w:rPr>
          <w:rFonts w:cstheme="minorHAnsi"/>
        </w:rPr>
      </w:pPr>
      <w:r w:rsidRPr="003D07A2">
        <w:rPr>
          <w:rFonts w:cstheme="minorHAnsi"/>
        </w:rPr>
        <w:t>Sakarā ar COVID-19 ierobežojumiem</w:t>
      </w:r>
      <w:r w:rsidR="001579A3" w:rsidRPr="003D07A2">
        <w:rPr>
          <w:rFonts w:cstheme="minorHAnsi"/>
        </w:rPr>
        <w:t>,</w:t>
      </w:r>
      <w:r w:rsidRPr="003D07A2">
        <w:rPr>
          <w:rFonts w:cstheme="minorHAnsi"/>
        </w:rPr>
        <w:t xml:space="preserve"> pacientu plūsma būtiski samazinājās neirožu, geriatrijas un akūtās psihiatriskās palīdzības nodaļās vīriešiem. </w:t>
      </w:r>
      <w:r w:rsidR="00ED1BCC" w:rsidRPr="003D07A2">
        <w:rPr>
          <w:rFonts w:cstheme="minorHAnsi"/>
        </w:rPr>
        <w:t xml:space="preserve">Lai gan COVID-19 ierobežojumi neattiecās uz neatliekamās palīdzības programmām, tomēr straujā pacientu plūsmas mazināšanās liecina, ka psihiatrijas pacients atšķiras no tipiska neatliekamās palīdzības pacienta. </w:t>
      </w:r>
    </w:p>
    <w:p w14:paraId="0C929081" w14:textId="682ECC90" w:rsidR="001739AA" w:rsidRPr="003D07A2" w:rsidRDefault="001739AA" w:rsidP="00712DD6">
      <w:pPr>
        <w:spacing w:before="100" w:beforeAutospacing="1" w:after="100" w:afterAutospacing="1"/>
        <w:jc w:val="both"/>
        <w:rPr>
          <w:rFonts w:cstheme="minorHAnsi"/>
        </w:rPr>
      </w:pPr>
      <w:r w:rsidRPr="003D07A2">
        <w:rPr>
          <w:rFonts w:cstheme="minorHAnsi"/>
        </w:rPr>
        <w:t xml:space="preserve">Pārskata </w:t>
      </w:r>
      <w:r w:rsidR="009B4ECD">
        <w:rPr>
          <w:rFonts w:cstheme="minorHAnsi"/>
        </w:rPr>
        <w:t>periodā</w:t>
      </w:r>
      <w:r w:rsidRPr="003D07A2">
        <w:rPr>
          <w:rFonts w:cstheme="minorHAnsi"/>
        </w:rPr>
        <w:t xml:space="preserve"> slimnīcā, salīdzinot ar 20</w:t>
      </w:r>
      <w:r w:rsidR="009B4ECD">
        <w:rPr>
          <w:rFonts w:cstheme="minorHAnsi"/>
        </w:rPr>
        <w:t>20</w:t>
      </w:r>
      <w:r w:rsidRPr="003D07A2">
        <w:rPr>
          <w:rFonts w:cstheme="minorHAnsi"/>
        </w:rPr>
        <w:t xml:space="preserve">.gadu, ārstēto pacientu skaits </w:t>
      </w:r>
      <w:r w:rsidR="009B4ECD">
        <w:rPr>
          <w:rFonts w:cstheme="minorHAnsi"/>
        </w:rPr>
        <w:t>psihiatrijā un narkoloģijā kopā</w:t>
      </w:r>
      <w:r w:rsidRPr="003D07A2">
        <w:rPr>
          <w:rFonts w:cstheme="minorHAnsi"/>
        </w:rPr>
        <w:t xml:space="preserve"> samazinājies par </w:t>
      </w:r>
      <w:r w:rsidR="009B4ECD">
        <w:rPr>
          <w:rFonts w:cstheme="minorHAnsi"/>
        </w:rPr>
        <w:t>230</w:t>
      </w:r>
      <w:r w:rsidRPr="003D07A2">
        <w:rPr>
          <w:rFonts w:cstheme="minorHAnsi"/>
        </w:rPr>
        <w:t xml:space="preserve"> pacientiem</w:t>
      </w:r>
      <w:r w:rsidR="009B4ECD">
        <w:rPr>
          <w:rFonts w:cstheme="minorHAnsi"/>
        </w:rPr>
        <w:t>, bet , ņemot vērā ārstētos COVID-19 pozitīvos pacientus, samazinājums ir par 71 pacientu.</w:t>
      </w:r>
      <w:r w:rsidRPr="003D07A2">
        <w:rPr>
          <w:rFonts w:cstheme="minorHAnsi"/>
        </w:rPr>
        <w:t xml:space="preserve"> </w:t>
      </w:r>
      <w:r w:rsidR="009B4ECD">
        <w:rPr>
          <w:rFonts w:cstheme="minorHAnsi"/>
        </w:rPr>
        <w:t>Pārskata periodā beigās nav apmaksāti 4 ārstētie narkoloģiskās rehabilitācijas pieaugušie pacienti (32 410.52 euro), 1 Minesotas programmā ārstētais pacients (1970.90 euro), kā arī viens bērns, kuriem nodrošināta obligātā narkoloģiskā palīdzība pēc bāriņtiesas lēmuma (2306.70 euro).</w:t>
      </w:r>
    </w:p>
    <w:p w14:paraId="3A5872E4" w14:textId="6991D007" w:rsidR="0010757F" w:rsidRPr="003D07A2" w:rsidRDefault="009430DE" w:rsidP="00712DD6">
      <w:pPr>
        <w:spacing w:before="100" w:beforeAutospacing="1" w:after="100" w:afterAutospacing="1"/>
        <w:jc w:val="both"/>
        <w:rPr>
          <w:rFonts w:cstheme="minorHAnsi"/>
        </w:rPr>
      </w:pPr>
      <w:r w:rsidRPr="003D07A2">
        <w:rPr>
          <w:rFonts w:cstheme="minorHAnsi"/>
        </w:rPr>
        <w:t>Pārskata periodā Slimnīcai par sekundāro ambulatoro veselības aprūpes pakalpojumu sniegšanu līgumā ar Nacionālo veselības dienestu noteikta tāmes finansējums par psihiatrijas (3 slodzes psihiatrs, 0.5 slodzes bērnu psihiatrs), psihologa/ psihoterapeita (</w:t>
      </w:r>
      <w:r w:rsidR="003328C9" w:rsidRPr="003D07A2">
        <w:rPr>
          <w:rFonts w:cstheme="minorHAnsi"/>
        </w:rPr>
        <w:t>0.75</w:t>
      </w:r>
      <w:r w:rsidRPr="003D07A2">
        <w:rPr>
          <w:rFonts w:cstheme="minorHAnsi"/>
        </w:rPr>
        <w:t xml:space="preserve"> slodze), psihiatrijas māsas(4 slodzes) un funkcionālo speciālistu</w:t>
      </w:r>
      <w:r w:rsidR="00C06C05" w:rsidRPr="003D07A2">
        <w:rPr>
          <w:rFonts w:cstheme="minorHAnsi"/>
        </w:rPr>
        <w:t xml:space="preserve"> </w:t>
      </w:r>
      <w:r w:rsidRPr="003D07A2">
        <w:rPr>
          <w:rFonts w:cstheme="minorHAnsi"/>
        </w:rPr>
        <w:t>(1</w:t>
      </w:r>
      <w:r w:rsidR="003328C9" w:rsidRPr="003D07A2">
        <w:rPr>
          <w:rFonts w:cstheme="minorHAnsi"/>
        </w:rPr>
        <w:t xml:space="preserve"> </w:t>
      </w:r>
      <w:r w:rsidRPr="003D07A2">
        <w:rPr>
          <w:rFonts w:cstheme="minorHAnsi"/>
        </w:rPr>
        <w:t>slodze) kabinetiem. Metadona aizvietojošās terapijas kabinetam apmaksātas 1.75 māsas</w:t>
      </w:r>
      <w:r w:rsidR="00C06C05" w:rsidRPr="003D07A2">
        <w:rPr>
          <w:rFonts w:cstheme="minorHAnsi"/>
        </w:rPr>
        <w:t xml:space="preserve"> </w:t>
      </w:r>
      <w:r w:rsidRPr="003D07A2">
        <w:rPr>
          <w:rFonts w:cstheme="minorHAnsi"/>
        </w:rPr>
        <w:t>slodzes un 1 psihologa slodze kabinetos.</w:t>
      </w:r>
      <w:r w:rsidR="006E705D">
        <w:rPr>
          <w:rFonts w:cstheme="minorHAnsi"/>
        </w:rPr>
        <w:t xml:space="preserve"> No 02.2021. papildus 0.5 slodzes psihiatrs un 0.5 slodzes bērnu psihiatrs pasākum</w:t>
      </w:r>
      <w:r w:rsidR="00271864">
        <w:rPr>
          <w:rFonts w:cstheme="minorHAnsi"/>
        </w:rPr>
        <w:t>u ietvaros</w:t>
      </w:r>
      <w:r w:rsidR="006E705D">
        <w:rPr>
          <w:rFonts w:cstheme="minorHAnsi"/>
        </w:rPr>
        <w:t xml:space="preserve"> “</w:t>
      </w:r>
      <w:r w:rsidR="006E705D" w:rsidRPr="006E705D">
        <w:rPr>
          <w:rFonts w:cstheme="minorHAnsi"/>
        </w:rPr>
        <w:t>Par nepieciešamajiem pasākumiem 2021. gadam un turpmāk, lai samazinātu ilglaicīgu negatīvo ietekmi uz sabiedrības psihisko veselību, ko rada COVID-19 pandēmija</w:t>
      </w:r>
      <w:r w:rsidR="006E705D">
        <w:rPr>
          <w:rFonts w:cstheme="minorHAnsi"/>
        </w:rPr>
        <w:t>”.</w:t>
      </w:r>
    </w:p>
    <w:p w14:paraId="3E14BA78" w14:textId="26F1CBFC" w:rsidR="00EB3D04" w:rsidRPr="003D07A2" w:rsidRDefault="006E705D" w:rsidP="00712DD6">
      <w:pPr>
        <w:spacing w:before="100" w:beforeAutospacing="1" w:after="100" w:afterAutospacing="1"/>
        <w:jc w:val="center"/>
        <w:rPr>
          <w:rFonts w:cstheme="minorHAnsi"/>
          <w:b/>
          <w:bCs/>
        </w:rPr>
      </w:pPr>
      <w:r>
        <w:rPr>
          <w:rFonts w:cstheme="minorHAnsi"/>
          <w:b/>
          <w:bCs/>
        </w:rPr>
        <w:t>S</w:t>
      </w:r>
      <w:r w:rsidR="009430DE" w:rsidRPr="003D07A2">
        <w:rPr>
          <w:rFonts w:cstheme="minorHAnsi"/>
          <w:b/>
          <w:bCs/>
        </w:rPr>
        <w:t>AVA kvotēto pakalpojumu apjoms</w:t>
      </w:r>
    </w:p>
    <w:tbl>
      <w:tblPr>
        <w:tblStyle w:val="Reatabula"/>
        <w:tblW w:w="9493" w:type="dxa"/>
        <w:jc w:val="center"/>
        <w:tblLook w:val="04A0" w:firstRow="1" w:lastRow="0" w:firstColumn="1" w:lastColumn="0" w:noHBand="0" w:noVBand="1"/>
      </w:tblPr>
      <w:tblGrid>
        <w:gridCol w:w="2197"/>
        <w:gridCol w:w="1991"/>
        <w:gridCol w:w="2116"/>
        <w:gridCol w:w="2116"/>
        <w:gridCol w:w="1073"/>
      </w:tblGrid>
      <w:tr w:rsidR="00271864" w:rsidRPr="00271864" w14:paraId="402F0C56" w14:textId="66A3EC14" w:rsidTr="00E8377F">
        <w:trPr>
          <w:trHeight w:val="1296"/>
          <w:jc w:val="center"/>
        </w:trPr>
        <w:tc>
          <w:tcPr>
            <w:tcW w:w="2547" w:type="dxa"/>
            <w:vAlign w:val="center"/>
          </w:tcPr>
          <w:p w14:paraId="3C427093" w14:textId="77777777" w:rsidR="00271864" w:rsidRPr="00271864" w:rsidRDefault="00271864" w:rsidP="00271864">
            <w:pPr>
              <w:jc w:val="center"/>
              <w:rPr>
                <w:rFonts w:cstheme="minorHAnsi"/>
                <w:sz w:val="20"/>
                <w:szCs w:val="20"/>
              </w:rPr>
            </w:pPr>
            <w:r w:rsidRPr="00271864">
              <w:rPr>
                <w:rFonts w:cstheme="minorHAnsi"/>
                <w:sz w:val="20"/>
                <w:szCs w:val="20"/>
              </w:rPr>
              <w:t>Pakalpojuma veids</w:t>
            </w:r>
          </w:p>
        </w:tc>
        <w:tc>
          <w:tcPr>
            <w:tcW w:w="1631" w:type="dxa"/>
            <w:vAlign w:val="center"/>
          </w:tcPr>
          <w:p w14:paraId="5BE58F38" w14:textId="7216CB97" w:rsidR="00271864" w:rsidRPr="00271864" w:rsidRDefault="00271864" w:rsidP="00271864">
            <w:pPr>
              <w:jc w:val="center"/>
              <w:rPr>
                <w:rFonts w:eastAsia="Times New Roman" w:cstheme="minorHAnsi"/>
                <w:color w:val="000000"/>
                <w:sz w:val="20"/>
                <w:szCs w:val="20"/>
                <w:lang w:eastAsia="lv-LV"/>
              </w:rPr>
            </w:pPr>
            <w:r w:rsidRPr="00271864">
              <w:rPr>
                <w:rFonts w:eastAsia="Times New Roman" w:cstheme="minorHAnsi"/>
                <w:color w:val="000000"/>
                <w:sz w:val="20"/>
                <w:szCs w:val="20"/>
                <w:lang w:eastAsia="lv-LV"/>
              </w:rPr>
              <w:t>Faktiski ārstēto/apmeklējumu pacientu skaits 2020.gadā</w:t>
            </w:r>
          </w:p>
        </w:tc>
        <w:tc>
          <w:tcPr>
            <w:tcW w:w="2116" w:type="dxa"/>
            <w:vAlign w:val="center"/>
          </w:tcPr>
          <w:p w14:paraId="10B42CB1" w14:textId="1BD94626" w:rsidR="00271864" w:rsidRPr="00271864" w:rsidRDefault="00271864" w:rsidP="00271864">
            <w:pPr>
              <w:jc w:val="center"/>
              <w:rPr>
                <w:rFonts w:cstheme="minorHAnsi"/>
                <w:sz w:val="20"/>
                <w:szCs w:val="20"/>
              </w:rPr>
            </w:pPr>
            <w:r w:rsidRPr="00271864">
              <w:rPr>
                <w:rFonts w:eastAsia="Times New Roman" w:cstheme="minorHAnsi"/>
                <w:color w:val="000000"/>
                <w:sz w:val="20"/>
                <w:szCs w:val="20"/>
                <w:lang w:eastAsia="lv-LV"/>
              </w:rPr>
              <w:t>Plānotais pacientu/apmeklējumu skaits līgumā 2021.gadā</w:t>
            </w:r>
          </w:p>
        </w:tc>
        <w:tc>
          <w:tcPr>
            <w:tcW w:w="2116" w:type="dxa"/>
            <w:vAlign w:val="center"/>
          </w:tcPr>
          <w:p w14:paraId="6B233181" w14:textId="2F575CCF" w:rsidR="00271864" w:rsidRPr="00271864" w:rsidRDefault="00271864" w:rsidP="00271864">
            <w:pPr>
              <w:jc w:val="center"/>
              <w:rPr>
                <w:rFonts w:cstheme="minorHAnsi"/>
                <w:sz w:val="20"/>
                <w:szCs w:val="20"/>
              </w:rPr>
            </w:pPr>
            <w:r w:rsidRPr="00271864">
              <w:rPr>
                <w:rFonts w:eastAsia="Times New Roman" w:cstheme="minorHAnsi"/>
                <w:color w:val="000000"/>
                <w:sz w:val="20"/>
                <w:szCs w:val="20"/>
                <w:lang w:eastAsia="lv-LV"/>
              </w:rPr>
              <w:t>Faktiski ārstēto pacientu/apmeklējumu skaits 2021.gadā</w:t>
            </w:r>
          </w:p>
        </w:tc>
        <w:tc>
          <w:tcPr>
            <w:tcW w:w="1083" w:type="dxa"/>
            <w:vAlign w:val="center"/>
          </w:tcPr>
          <w:p w14:paraId="39A49DA6" w14:textId="093F56D9" w:rsidR="00271864" w:rsidRPr="00271864" w:rsidRDefault="00271864" w:rsidP="00271864">
            <w:pPr>
              <w:jc w:val="center"/>
              <w:rPr>
                <w:rFonts w:eastAsia="Times New Roman" w:cstheme="minorHAnsi"/>
                <w:color w:val="000000"/>
                <w:sz w:val="20"/>
                <w:szCs w:val="20"/>
                <w:lang w:eastAsia="lv-LV"/>
              </w:rPr>
            </w:pPr>
            <w:r w:rsidRPr="00271864">
              <w:rPr>
                <w:rFonts w:cstheme="minorHAnsi"/>
                <w:sz w:val="20"/>
                <w:szCs w:val="20"/>
              </w:rPr>
              <w:t>Novirze pret 2020.gadu</w:t>
            </w:r>
          </w:p>
        </w:tc>
      </w:tr>
      <w:tr w:rsidR="00271864" w:rsidRPr="00271864" w14:paraId="615A0764" w14:textId="7B40AFBC" w:rsidTr="00E8377F">
        <w:trPr>
          <w:trHeight w:val="420"/>
          <w:jc w:val="center"/>
        </w:trPr>
        <w:tc>
          <w:tcPr>
            <w:tcW w:w="2547" w:type="dxa"/>
          </w:tcPr>
          <w:p w14:paraId="67F91D6D" w14:textId="77777777" w:rsidR="00271864" w:rsidRPr="00271864" w:rsidRDefault="00271864" w:rsidP="006E37EF">
            <w:pPr>
              <w:rPr>
                <w:rFonts w:cstheme="minorHAnsi"/>
                <w:sz w:val="20"/>
                <w:szCs w:val="20"/>
              </w:rPr>
            </w:pPr>
            <w:r w:rsidRPr="00271864">
              <w:rPr>
                <w:rFonts w:cstheme="minorHAnsi"/>
                <w:sz w:val="20"/>
                <w:szCs w:val="20"/>
              </w:rPr>
              <w:t>Neiroelektrofizioloģiskie funkcionālie izmeklējumi</w:t>
            </w:r>
          </w:p>
        </w:tc>
        <w:tc>
          <w:tcPr>
            <w:tcW w:w="1631" w:type="dxa"/>
            <w:vAlign w:val="center"/>
          </w:tcPr>
          <w:p w14:paraId="5AEAC4CC" w14:textId="65E493B3" w:rsidR="00271864" w:rsidRPr="00271864" w:rsidRDefault="00271864" w:rsidP="000A70AD">
            <w:pPr>
              <w:jc w:val="center"/>
              <w:rPr>
                <w:rFonts w:cstheme="minorHAnsi"/>
                <w:sz w:val="20"/>
                <w:szCs w:val="20"/>
              </w:rPr>
            </w:pPr>
            <w:r w:rsidRPr="00271864">
              <w:rPr>
                <w:rFonts w:cstheme="minorHAnsi"/>
                <w:sz w:val="20"/>
                <w:szCs w:val="20"/>
              </w:rPr>
              <w:t>160</w:t>
            </w:r>
          </w:p>
        </w:tc>
        <w:tc>
          <w:tcPr>
            <w:tcW w:w="2116" w:type="dxa"/>
            <w:vAlign w:val="center"/>
          </w:tcPr>
          <w:p w14:paraId="7B8CBD04" w14:textId="15D28281" w:rsidR="00271864" w:rsidRPr="00271864" w:rsidRDefault="00271864" w:rsidP="000A70AD">
            <w:pPr>
              <w:jc w:val="center"/>
              <w:rPr>
                <w:rFonts w:cstheme="minorHAnsi"/>
                <w:sz w:val="20"/>
                <w:szCs w:val="20"/>
              </w:rPr>
            </w:pPr>
            <w:r w:rsidRPr="00271864">
              <w:rPr>
                <w:rFonts w:cstheme="minorHAnsi"/>
                <w:sz w:val="20"/>
                <w:szCs w:val="20"/>
              </w:rPr>
              <w:t>135</w:t>
            </w:r>
          </w:p>
        </w:tc>
        <w:tc>
          <w:tcPr>
            <w:tcW w:w="2116" w:type="dxa"/>
            <w:vAlign w:val="center"/>
          </w:tcPr>
          <w:p w14:paraId="613C4CC5" w14:textId="2119A878" w:rsidR="00271864" w:rsidRPr="00271864" w:rsidRDefault="00271864" w:rsidP="000A70AD">
            <w:pPr>
              <w:jc w:val="center"/>
              <w:rPr>
                <w:rFonts w:cstheme="minorHAnsi"/>
                <w:sz w:val="20"/>
                <w:szCs w:val="20"/>
              </w:rPr>
            </w:pPr>
            <w:r w:rsidRPr="00271864">
              <w:rPr>
                <w:rFonts w:cstheme="minorHAnsi"/>
                <w:sz w:val="20"/>
                <w:szCs w:val="20"/>
              </w:rPr>
              <w:t>126</w:t>
            </w:r>
          </w:p>
        </w:tc>
        <w:tc>
          <w:tcPr>
            <w:tcW w:w="1083" w:type="dxa"/>
            <w:vAlign w:val="center"/>
          </w:tcPr>
          <w:p w14:paraId="7BA2B59B" w14:textId="13FBCE25" w:rsidR="00271864" w:rsidRPr="00271864" w:rsidRDefault="00271864" w:rsidP="00271864">
            <w:pPr>
              <w:jc w:val="center"/>
              <w:rPr>
                <w:rFonts w:cstheme="minorHAnsi"/>
                <w:sz w:val="20"/>
                <w:szCs w:val="20"/>
              </w:rPr>
            </w:pPr>
            <w:r>
              <w:rPr>
                <w:rFonts w:cstheme="minorHAnsi"/>
                <w:sz w:val="20"/>
                <w:szCs w:val="20"/>
              </w:rPr>
              <w:t>-34</w:t>
            </w:r>
          </w:p>
        </w:tc>
      </w:tr>
      <w:tr w:rsidR="00271864" w:rsidRPr="00271864" w14:paraId="1AE3E552" w14:textId="2C1DF452" w:rsidTr="00E8377F">
        <w:trPr>
          <w:trHeight w:val="647"/>
          <w:jc w:val="center"/>
        </w:trPr>
        <w:tc>
          <w:tcPr>
            <w:tcW w:w="2547" w:type="dxa"/>
          </w:tcPr>
          <w:p w14:paraId="55DA81C3" w14:textId="77777777" w:rsidR="00271864" w:rsidRPr="00271864" w:rsidRDefault="00271864" w:rsidP="006E37EF">
            <w:pPr>
              <w:rPr>
                <w:rFonts w:cstheme="minorHAnsi"/>
                <w:sz w:val="20"/>
                <w:szCs w:val="20"/>
              </w:rPr>
            </w:pPr>
            <w:r w:rsidRPr="00271864">
              <w:rPr>
                <w:rFonts w:cstheme="minorHAnsi"/>
                <w:sz w:val="20"/>
                <w:szCs w:val="20"/>
              </w:rPr>
              <w:t>Psihiatrisko slimnieku ārstēšana psihiatriskā profila dienas stacionārā</w:t>
            </w:r>
          </w:p>
        </w:tc>
        <w:tc>
          <w:tcPr>
            <w:tcW w:w="1631" w:type="dxa"/>
            <w:vAlign w:val="center"/>
          </w:tcPr>
          <w:p w14:paraId="3AB0E809" w14:textId="65ABCDE2" w:rsidR="00271864" w:rsidRPr="00271864" w:rsidRDefault="00271864" w:rsidP="000A70AD">
            <w:pPr>
              <w:jc w:val="center"/>
              <w:rPr>
                <w:rFonts w:cstheme="minorHAnsi"/>
                <w:sz w:val="20"/>
                <w:szCs w:val="20"/>
              </w:rPr>
            </w:pPr>
            <w:r w:rsidRPr="00271864">
              <w:rPr>
                <w:rFonts w:cstheme="minorHAnsi"/>
                <w:sz w:val="20"/>
                <w:szCs w:val="20"/>
              </w:rPr>
              <w:t>865</w:t>
            </w:r>
          </w:p>
        </w:tc>
        <w:tc>
          <w:tcPr>
            <w:tcW w:w="2116" w:type="dxa"/>
            <w:vAlign w:val="center"/>
          </w:tcPr>
          <w:p w14:paraId="2FC28513" w14:textId="44A4E975" w:rsidR="00271864" w:rsidRPr="00271864" w:rsidRDefault="00271864" w:rsidP="000A70AD">
            <w:pPr>
              <w:jc w:val="center"/>
              <w:rPr>
                <w:rFonts w:cstheme="minorHAnsi"/>
                <w:sz w:val="20"/>
                <w:szCs w:val="20"/>
              </w:rPr>
            </w:pPr>
            <w:r w:rsidRPr="00271864">
              <w:rPr>
                <w:rFonts w:cstheme="minorHAnsi"/>
                <w:sz w:val="20"/>
                <w:szCs w:val="20"/>
              </w:rPr>
              <w:t>973</w:t>
            </w:r>
          </w:p>
        </w:tc>
        <w:tc>
          <w:tcPr>
            <w:tcW w:w="2116" w:type="dxa"/>
            <w:vAlign w:val="center"/>
          </w:tcPr>
          <w:p w14:paraId="547801A4" w14:textId="45C15DE2" w:rsidR="00271864" w:rsidRPr="00271864" w:rsidRDefault="00271864" w:rsidP="000A70AD">
            <w:pPr>
              <w:jc w:val="center"/>
              <w:rPr>
                <w:rFonts w:cstheme="minorHAnsi"/>
                <w:sz w:val="20"/>
                <w:szCs w:val="20"/>
              </w:rPr>
            </w:pPr>
            <w:r w:rsidRPr="00271864">
              <w:rPr>
                <w:rFonts w:cstheme="minorHAnsi"/>
                <w:sz w:val="20"/>
                <w:szCs w:val="20"/>
              </w:rPr>
              <w:t>395</w:t>
            </w:r>
          </w:p>
        </w:tc>
        <w:tc>
          <w:tcPr>
            <w:tcW w:w="1083" w:type="dxa"/>
            <w:vAlign w:val="center"/>
          </w:tcPr>
          <w:p w14:paraId="1432AEC1" w14:textId="3A63914C" w:rsidR="00271864" w:rsidRPr="00271864" w:rsidRDefault="00271864" w:rsidP="00271864">
            <w:pPr>
              <w:jc w:val="center"/>
              <w:rPr>
                <w:rFonts w:cstheme="minorHAnsi"/>
                <w:sz w:val="20"/>
                <w:szCs w:val="20"/>
              </w:rPr>
            </w:pPr>
            <w:r>
              <w:rPr>
                <w:rFonts w:cstheme="minorHAnsi"/>
                <w:sz w:val="20"/>
                <w:szCs w:val="20"/>
              </w:rPr>
              <w:t>-470</w:t>
            </w:r>
          </w:p>
        </w:tc>
      </w:tr>
      <w:tr w:rsidR="00271864" w:rsidRPr="00271864" w14:paraId="5206C17A" w14:textId="7766E818" w:rsidTr="00E8377F">
        <w:trPr>
          <w:trHeight w:val="363"/>
          <w:jc w:val="center"/>
        </w:trPr>
        <w:tc>
          <w:tcPr>
            <w:tcW w:w="2547" w:type="dxa"/>
          </w:tcPr>
          <w:p w14:paraId="33E12E1E" w14:textId="77777777" w:rsidR="00271864" w:rsidRPr="00271864" w:rsidRDefault="00271864" w:rsidP="006E37EF">
            <w:pPr>
              <w:rPr>
                <w:rFonts w:cstheme="minorHAnsi"/>
                <w:sz w:val="20"/>
                <w:szCs w:val="20"/>
              </w:rPr>
            </w:pPr>
            <w:r w:rsidRPr="00271864">
              <w:rPr>
                <w:rFonts w:cstheme="minorHAnsi"/>
                <w:sz w:val="20"/>
                <w:szCs w:val="20"/>
              </w:rPr>
              <w:t>Narkologa pakalpojumi</w:t>
            </w:r>
          </w:p>
        </w:tc>
        <w:tc>
          <w:tcPr>
            <w:tcW w:w="1631" w:type="dxa"/>
            <w:vAlign w:val="center"/>
          </w:tcPr>
          <w:p w14:paraId="60B2F8A2" w14:textId="35B63831" w:rsidR="00271864" w:rsidRPr="00271864" w:rsidRDefault="00271864" w:rsidP="000A70AD">
            <w:pPr>
              <w:jc w:val="center"/>
              <w:rPr>
                <w:rFonts w:cstheme="minorHAnsi"/>
                <w:sz w:val="20"/>
                <w:szCs w:val="20"/>
              </w:rPr>
            </w:pPr>
            <w:r w:rsidRPr="00271864">
              <w:rPr>
                <w:rFonts w:cstheme="minorHAnsi"/>
                <w:sz w:val="20"/>
                <w:szCs w:val="20"/>
              </w:rPr>
              <w:t>1355</w:t>
            </w:r>
          </w:p>
        </w:tc>
        <w:tc>
          <w:tcPr>
            <w:tcW w:w="2116" w:type="dxa"/>
            <w:vAlign w:val="center"/>
          </w:tcPr>
          <w:p w14:paraId="4CF9407C" w14:textId="754770CC" w:rsidR="00271864" w:rsidRPr="00271864" w:rsidRDefault="00271864" w:rsidP="000A70AD">
            <w:pPr>
              <w:jc w:val="center"/>
              <w:rPr>
                <w:rFonts w:cstheme="minorHAnsi"/>
                <w:sz w:val="20"/>
                <w:szCs w:val="20"/>
              </w:rPr>
            </w:pPr>
            <w:r w:rsidRPr="00271864">
              <w:rPr>
                <w:rFonts w:cstheme="minorHAnsi"/>
                <w:sz w:val="20"/>
                <w:szCs w:val="20"/>
              </w:rPr>
              <w:t>1264</w:t>
            </w:r>
          </w:p>
        </w:tc>
        <w:tc>
          <w:tcPr>
            <w:tcW w:w="2116" w:type="dxa"/>
            <w:vAlign w:val="center"/>
          </w:tcPr>
          <w:p w14:paraId="112BA287" w14:textId="1D4CFFDD" w:rsidR="00271864" w:rsidRPr="00271864" w:rsidRDefault="00271864" w:rsidP="000A70AD">
            <w:pPr>
              <w:jc w:val="center"/>
              <w:rPr>
                <w:rFonts w:cstheme="minorHAnsi"/>
                <w:sz w:val="20"/>
                <w:szCs w:val="20"/>
              </w:rPr>
            </w:pPr>
            <w:r w:rsidRPr="00271864">
              <w:rPr>
                <w:rFonts w:cstheme="minorHAnsi"/>
                <w:sz w:val="20"/>
                <w:szCs w:val="20"/>
              </w:rPr>
              <w:t>1343</w:t>
            </w:r>
          </w:p>
        </w:tc>
        <w:tc>
          <w:tcPr>
            <w:tcW w:w="1083" w:type="dxa"/>
            <w:vAlign w:val="center"/>
          </w:tcPr>
          <w:p w14:paraId="41E2D396" w14:textId="6BE05F75" w:rsidR="00271864" w:rsidRPr="00271864" w:rsidRDefault="00271864" w:rsidP="00271864">
            <w:pPr>
              <w:jc w:val="center"/>
              <w:rPr>
                <w:rFonts w:cstheme="minorHAnsi"/>
                <w:sz w:val="20"/>
                <w:szCs w:val="20"/>
              </w:rPr>
            </w:pPr>
            <w:r>
              <w:rPr>
                <w:rFonts w:cstheme="minorHAnsi"/>
                <w:sz w:val="20"/>
                <w:szCs w:val="20"/>
              </w:rPr>
              <w:t>-12</w:t>
            </w:r>
          </w:p>
        </w:tc>
      </w:tr>
      <w:tr w:rsidR="00271864" w:rsidRPr="00271864" w14:paraId="42C472AB" w14:textId="35DBE681" w:rsidTr="00E8377F">
        <w:trPr>
          <w:trHeight w:val="260"/>
          <w:jc w:val="center"/>
        </w:trPr>
        <w:tc>
          <w:tcPr>
            <w:tcW w:w="2547" w:type="dxa"/>
          </w:tcPr>
          <w:p w14:paraId="68393425" w14:textId="77777777" w:rsidR="00271864" w:rsidRPr="00271864" w:rsidRDefault="00271864" w:rsidP="006E37EF">
            <w:pPr>
              <w:rPr>
                <w:rFonts w:cstheme="minorHAnsi"/>
                <w:sz w:val="20"/>
                <w:szCs w:val="20"/>
              </w:rPr>
            </w:pPr>
            <w:r w:rsidRPr="00271864">
              <w:rPr>
                <w:rFonts w:cstheme="minorHAnsi"/>
                <w:sz w:val="20"/>
                <w:szCs w:val="20"/>
              </w:rPr>
              <w:t>Psihiatra pakalpojumi</w:t>
            </w:r>
          </w:p>
        </w:tc>
        <w:tc>
          <w:tcPr>
            <w:tcW w:w="1631" w:type="dxa"/>
            <w:vAlign w:val="center"/>
          </w:tcPr>
          <w:p w14:paraId="75924C93" w14:textId="2AE29469" w:rsidR="00271864" w:rsidRPr="00271864" w:rsidRDefault="00271864" w:rsidP="000A70AD">
            <w:pPr>
              <w:jc w:val="center"/>
              <w:rPr>
                <w:rFonts w:cstheme="minorHAnsi"/>
                <w:sz w:val="20"/>
                <w:szCs w:val="20"/>
              </w:rPr>
            </w:pPr>
            <w:r w:rsidRPr="00271864">
              <w:rPr>
                <w:rFonts w:cstheme="minorHAnsi"/>
                <w:sz w:val="20"/>
                <w:szCs w:val="20"/>
              </w:rPr>
              <w:t>3287</w:t>
            </w:r>
          </w:p>
        </w:tc>
        <w:tc>
          <w:tcPr>
            <w:tcW w:w="2116" w:type="dxa"/>
            <w:vAlign w:val="center"/>
          </w:tcPr>
          <w:p w14:paraId="08909B24" w14:textId="77777777" w:rsidR="00271864" w:rsidRPr="00271864" w:rsidRDefault="00271864" w:rsidP="000A70AD">
            <w:pPr>
              <w:jc w:val="center"/>
              <w:rPr>
                <w:rFonts w:cstheme="minorHAnsi"/>
                <w:sz w:val="20"/>
                <w:szCs w:val="20"/>
              </w:rPr>
            </w:pPr>
            <w:r w:rsidRPr="00271864">
              <w:rPr>
                <w:rFonts w:cstheme="minorHAnsi"/>
                <w:sz w:val="20"/>
                <w:szCs w:val="20"/>
              </w:rPr>
              <w:t>X</w:t>
            </w:r>
          </w:p>
        </w:tc>
        <w:tc>
          <w:tcPr>
            <w:tcW w:w="2116" w:type="dxa"/>
            <w:vAlign w:val="center"/>
          </w:tcPr>
          <w:p w14:paraId="2E9C71BF" w14:textId="0321EF8A" w:rsidR="00271864" w:rsidRPr="00271864" w:rsidRDefault="00271864" w:rsidP="000A70AD">
            <w:pPr>
              <w:jc w:val="center"/>
              <w:rPr>
                <w:rFonts w:cstheme="minorHAnsi"/>
                <w:sz w:val="20"/>
                <w:szCs w:val="20"/>
              </w:rPr>
            </w:pPr>
            <w:r w:rsidRPr="00271864">
              <w:rPr>
                <w:rFonts w:cstheme="minorHAnsi"/>
                <w:sz w:val="20"/>
                <w:szCs w:val="20"/>
              </w:rPr>
              <w:t>3144</w:t>
            </w:r>
          </w:p>
        </w:tc>
        <w:tc>
          <w:tcPr>
            <w:tcW w:w="1083" w:type="dxa"/>
            <w:vAlign w:val="center"/>
          </w:tcPr>
          <w:p w14:paraId="5026A181" w14:textId="2829FA3D" w:rsidR="00271864" w:rsidRPr="00271864" w:rsidRDefault="00271864" w:rsidP="00271864">
            <w:pPr>
              <w:jc w:val="center"/>
              <w:rPr>
                <w:rFonts w:cstheme="minorHAnsi"/>
                <w:sz w:val="20"/>
                <w:szCs w:val="20"/>
              </w:rPr>
            </w:pPr>
            <w:r>
              <w:rPr>
                <w:rFonts w:cstheme="minorHAnsi"/>
                <w:sz w:val="20"/>
                <w:szCs w:val="20"/>
              </w:rPr>
              <w:t>-143</w:t>
            </w:r>
          </w:p>
        </w:tc>
      </w:tr>
      <w:tr w:rsidR="00271864" w:rsidRPr="00271864" w14:paraId="25089A1F" w14:textId="750EA601" w:rsidTr="00E8377F">
        <w:trPr>
          <w:trHeight w:val="420"/>
          <w:jc w:val="center"/>
        </w:trPr>
        <w:tc>
          <w:tcPr>
            <w:tcW w:w="2547" w:type="dxa"/>
          </w:tcPr>
          <w:p w14:paraId="056FF280" w14:textId="77777777" w:rsidR="00271864" w:rsidRPr="00271864" w:rsidRDefault="00271864" w:rsidP="006E37EF">
            <w:pPr>
              <w:rPr>
                <w:rFonts w:cstheme="minorHAnsi"/>
                <w:sz w:val="20"/>
                <w:szCs w:val="20"/>
              </w:rPr>
            </w:pPr>
            <w:r w:rsidRPr="00271864">
              <w:rPr>
                <w:rFonts w:cstheme="minorHAnsi"/>
                <w:sz w:val="20"/>
                <w:szCs w:val="20"/>
              </w:rPr>
              <w:t>Tiesu psihiatriskā un psiholoģiskā ekspertīze</w:t>
            </w:r>
          </w:p>
        </w:tc>
        <w:tc>
          <w:tcPr>
            <w:tcW w:w="1631" w:type="dxa"/>
            <w:vAlign w:val="center"/>
          </w:tcPr>
          <w:p w14:paraId="32B6CCF3" w14:textId="614A78C6" w:rsidR="00271864" w:rsidRPr="00271864" w:rsidRDefault="00271864" w:rsidP="000A70AD">
            <w:pPr>
              <w:jc w:val="center"/>
              <w:rPr>
                <w:rFonts w:cstheme="minorHAnsi"/>
                <w:sz w:val="20"/>
                <w:szCs w:val="20"/>
              </w:rPr>
            </w:pPr>
            <w:r w:rsidRPr="00271864">
              <w:rPr>
                <w:rFonts w:cstheme="minorHAnsi"/>
                <w:sz w:val="20"/>
                <w:szCs w:val="20"/>
              </w:rPr>
              <w:t>27</w:t>
            </w:r>
          </w:p>
        </w:tc>
        <w:tc>
          <w:tcPr>
            <w:tcW w:w="2116" w:type="dxa"/>
            <w:vAlign w:val="center"/>
          </w:tcPr>
          <w:p w14:paraId="29E165D0" w14:textId="135A0B3F" w:rsidR="00271864" w:rsidRPr="00271864" w:rsidRDefault="00271864" w:rsidP="000A70AD">
            <w:pPr>
              <w:jc w:val="center"/>
              <w:rPr>
                <w:rFonts w:cstheme="minorHAnsi"/>
                <w:sz w:val="20"/>
                <w:szCs w:val="20"/>
              </w:rPr>
            </w:pPr>
            <w:r w:rsidRPr="00271864">
              <w:rPr>
                <w:rFonts w:cstheme="minorHAnsi"/>
                <w:sz w:val="20"/>
                <w:szCs w:val="20"/>
              </w:rPr>
              <w:t>30</w:t>
            </w:r>
          </w:p>
        </w:tc>
        <w:tc>
          <w:tcPr>
            <w:tcW w:w="2116" w:type="dxa"/>
            <w:vAlign w:val="center"/>
          </w:tcPr>
          <w:p w14:paraId="470BA6BE" w14:textId="121A2F08" w:rsidR="00271864" w:rsidRPr="00271864" w:rsidRDefault="00271864" w:rsidP="000A70AD">
            <w:pPr>
              <w:jc w:val="center"/>
              <w:rPr>
                <w:rFonts w:cstheme="minorHAnsi"/>
                <w:sz w:val="20"/>
                <w:szCs w:val="20"/>
              </w:rPr>
            </w:pPr>
            <w:r w:rsidRPr="00271864">
              <w:rPr>
                <w:rFonts w:cstheme="minorHAnsi"/>
                <w:sz w:val="20"/>
                <w:szCs w:val="20"/>
              </w:rPr>
              <w:t>21</w:t>
            </w:r>
          </w:p>
        </w:tc>
        <w:tc>
          <w:tcPr>
            <w:tcW w:w="1083" w:type="dxa"/>
            <w:vAlign w:val="center"/>
          </w:tcPr>
          <w:p w14:paraId="4E0373E4" w14:textId="419BC94D" w:rsidR="00271864" w:rsidRPr="00271864" w:rsidRDefault="00271864" w:rsidP="00271864">
            <w:pPr>
              <w:jc w:val="center"/>
              <w:rPr>
                <w:rFonts w:cstheme="minorHAnsi"/>
                <w:sz w:val="20"/>
                <w:szCs w:val="20"/>
              </w:rPr>
            </w:pPr>
            <w:r>
              <w:rPr>
                <w:rFonts w:cstheme="minorHAnsi"/>
                <w:sz w:val="20"/>
                <w:szCs w:val="20"/>
              </w:rPr>
              <w:t>-6</w:t>
            </w:r>
          </w:p>
        </w:tc>
      </w:tr>
      <w:tr w:rsidR="00271864" w:rsidRPr="00271864" w14:paraId="7BBDA805" w14:textId="7581D1A9" w:rsidTr="00E8377F">
        <w:trPr>
          <w:trHeight w:val="210"/>
          <w:jc w:val="center"/>
        </w:trPr>
        <w:tc>
          <w:tcPr>
            <w:tcW w:w="2547" w:type="dxa"/>
          </w:tcPr>
          <w:p w14:paraId="560D5B98" w14:textId="77777777" w:rsidR="00271864" w:rsidRPr="00271864" w:rsidRDefault="00271864" w:rsidP="006E37EF">
            <w:pPr>
              <w:rPr>
                <w:rFonts w:cstheme="minorHAnsi"/>
                <w:sz w:val="20"/>
                <w:szCs w:val="20"/>
              </w:rPr>
            </w:pPr>
            <w:r w:rsidRPr="00271864">
              <w:rPr>
                <w:rFonts w:cstheme="minorHAnsi"/>
                <w:sz w:val="20"/>
                <w:szCs w:val="20"/>
              </w:rPr>
              <w:t>Metadona aizvietojoša terapija</w:t>
            </w:r>
          </w:p>
        </w:tc>
        <w:tc>
          <w:tcPr>
            <w:tcW w:w="1631" w:type="dxa"/>
            <w:vAlign w:val="center"/>
          </w:tcPr>
          <w:p w14:paraId="597FC93C" w14:textId="3D7A5608" w:rsidR="00271864" w:rsidRPr="00271864" w:rsidRDefault="00271864" w:rsidP="000A70AD">
            <w:pPr>
              <w:jc w:val="center"/>
              <w:rPr>
                <w:rFonts w:cstheme="minorHAnsi"/>
                <w:sz w:val="20"/>
                <w:szCs w:val="20"/>
              </w:rPr>
            </w:pPr>
            <w:r w:rsidRPr="00271864">
              <w:rPr>
                <w:rFonts w:cstheme="minorHAnsi"/>
                <w:sz w:val="20"/>
                <w:szCs w:val="20"/>
              </w:rPr>
              <w:t>5272</w:t>
            </w:r>
          </w:p>
        </w:tc>
        <w:tc>
          <w:tcPr>
            <w:tcW w:w="2116" w:type="dxa"/>
            <w:vAlign w:val="center"/>
          </w:tcPr>
          <w:p w14:paraId="1657D5AC" w14:textId="34B62A3C" w:rsidR="00271864" w:rsidRPr="00271864" w:rsidRDefault="00271864" w:rsidP="000A70AD">
            <w:pPr>
              <w:jc w:val="center"/>
              <w:rPr>
                <w:rFonts w:cstheme="minorHAnsi"/>
                <w:sz w:val="20"/>
                <w:szCs w:val="20"/>
              </w:rPr>
            </w:pPr>
            <w:r w:rsidRPr="00271864">
              <w:rPr>
                <w:rFonts w:cstheme="minorHAnsi"/>
                <w:sz w:val="20"/>
                <w:szCs w:val="20"/>
              </w:rPr>
              <w:t>5293</w:t>
            </w:r>
          </w:p>
        </w:tc>
        <w:tc>
          <w:tcPr>
            <w:tcW w:w="2116" w:type="dxa"/>
            <w:vAlign w:val="center"/>
          </w:tcPr>
          <w:p w14:paraId="42ACD6EA" w14:textId="6E805DAE" w:rsidR="00271864" w:rsidRPr="00271864" w:rsidRDefault="00271864" w:rsidP="000A70AD">
            <w:pPr>
              <w:jc w:val="center"/>
              <w:rPr>
                <w:rFonts w:cstheme="minorHAnsi"/>
                <w:sz w:val="20"/>
                <w:szCs w:val="20"/>
              </w:rPr>
            </w:pPr>
            <w:r w:rsidRPr="00271864">
              <w:rPr>
                <w:rFonts w:cstheme="minorHAnsi"/>
                <w:sz w:val="20"/>
                <w:szCs w:val="20"/>
              </w:rPr>
              <w:t>5839</w:t>
            </w:r>
          </w:p>
        </w:tc>
        <w:tc>
          <w:tcPr>
            <w:tcW w:w="1083" w:type="dxa"/>
            <w:vAlign w:val="center"/>
          </w:tcPr>
          <w:p w14:paraId="10552673" w14:textId="783469B9" w:rsidR="00271864" w:rsidRPr="00271864" w:rsidRDefault="00271864" w:rsidP="00271864">
            <w:pPr>
              <w:jc w:val="center"/>
              <w:rPr>
                <w:rFonts w:cstheme="minorHAnsi"/>
                <w:sz w:val="20"/>
                <w:szCs w:val="20"/>
              </w:rPr>
            </w:pPr>
            <w:r>
              <w:rPr>
                <w:rFonts w:cstheme="minorHAnsi"/>
                <w:sz w:val="20"/>
                <w:szCs w:val="20"/>
              </w:rPr>
              <w:t>+567</w:t>
            </w:r>
          </w:p>
        </w:tc>
      </w:tr>
    </w:tbl>
    <w:p w14:paraId="7D46C787" w14:textId="322FA49A" w:rsidR="00B55769" w:rsidRPr="003D07A2" w:rsidRDefault="00B55769" w:rsidP="00712DD6">
      <w:pPr>
        <w:spacing w:before="100" w:beforeAutospacing="1" w:after="100" w:afterAutospacing="1"/>
        <w:jc w:val="both"/>
        <w:rPr>
          <w:rFonts w:cstheme="minorHAnsi"/>
        </w:rPr>
      </w:pPr>
      <w:r w:rsidRPr="003D07A2">
        <w:rPr>
          <w:rFonts w:cstheme="minorHAnsi"/>
        </w:rPr>
        <w:t>Pārskata gadā ārkārtējās situācijas ietekme uz sekundārajiem veselības aprūpes pakalpojumiem ir vērojama tieši uz Dienas stacionārā sniegtajiem pakalpojumiem.</w:t>
      </w:r>
    </w:p>
    <w:p w14:paraId="770A5F6F" w14:textId="7869A247" w:rsidR="00712DD6" w:rsidRPr="003D07A2" w:rsidRDefault="0010757F" w:rsidP="00E8377F">
      <w:pPr>
        <w:spacing w:before="100" w:beforeAutospacing="1" w:after="100" w:afterAutospacing="1"/>
        <w:jc w:val="both"/>
        <w:rPr>
          <w:rFonts w:cstheme="minorHAnsi"/>
        </w:rPr>
      </w:pPr>
      <w:r w:rsidRPr="003D07A2">
        <w:rPr>
          <w:rFonts w:cstheme="minorHAnsi"/>
        </w:rPr>
        <w:t>Saskaņā ar Sabiedrības vidēja termiņa darbības stratēģiju 2020.-2022.gadam nefinanšu mērķis ir veselības aprūpes pakalpojuma pieejamības uzlabošana, veselības aprūpes pakalpojumu plānošanas un sniegšanas efektivitātes nodrošināšana un veselības aprūpes pakalpojumu sniegšanas kvalitātes nodrošināšana.</w:t>
      </w:r>
    </w:p>
    <w:p w14:paraId="4A72332E" w14:textId="3C1C3032" w:rsidR="0010757F" w:rsidRPr="003D07A2" w:rsidRDefault="0010757F" w:rsidP="00712DD6">
      <w:pPr>
        <w:spacing w:before="100" w:beforeAutospacing="1" w:after="100" w:afterAutospacing="1"/>
        <w:jc w:val="center"/>
        <w:rPr>
          <w:rFonts w:cstheme="minorHAnsi"/>
          <w:b/>
          <w:bCs/>
        </w:rPr>
      </w:pPr>
      <w:r w:rsidRPr="003D07A2">
        <w:rPr>
          <w:rFonts w:cstheme="minorHAnsi"/>
          <w:b/>
          <w:bCs/>
        </w:rPr>
        <w:t>Nefinanšu mērķu rezultatīvie rādītāji</w:t>
      </w:r>
    </w:p>
    <w:tbl>
      <w:tblPr>
        <w:tblStyle w:val="Reatabula"/>
        <w:tblW w:w="9067" w:type="dxa"/>
        <w:tblLook w:val="04A0" w:firstRow="1" w:lastRow="0" w:firstColumn="1" w:lastColumn="0" w:noHBand="0" w:noVBand="1"/>
      </w:tblPr>
      <w:tblGrid>
        <w:gridCol w:w="4673"/>
        <w:gridCol w:w="1559"/>
        <w:gridCol w:w="1586"/>
        <w:gridCol w:w="1249"/>
      </w:tblGrid>
      <w:tr w:rsidR="005663B4" w:rsidRPr="00E8377F" w14:paraId="662721E8" w14:textId="77777777" w:rsidTr="00E8377F">
        <w:trPr>
          <w:trHeight w:val="456"/>
        </w:trPr>
        <w:tc>
          <w:tcPr>
            <w:tcW w:w="4673" w:type="dxa"/>
            <w:vAlign w:val="center"/>
          </w:tcPr>
          <w:p w14:paraId="1A224FAB" w14:textId="77777777" w:rsidR="005663B4" w:rsidRPr="00E8377F" w:rsidRDefault="005663B4" w:rsidP="006E37EF">
            <w:pPr>
              <w:jc w:val="center"/>
              <w:rPr>
                <w:rFonts w:cstheme="minorHAnsi"/>
                <w:sz w:val="20"/>
                <w:szCs w:val="20"/>
              </w:rPr>
            </w:pPr>
            <w:r w:rsidRPr="00E8377F">
              <w:rPr>
                <w:rFonts w:cstheme="minorHAnsi"/>
                <w:sz w:val="20"/>
                <w:szCs w:val="20"/>
              </w:rPr>
              <w:t>Rādītājs</w:t>
            </w:r>
          </w:p>
        </w:tc>
        <w:tc>
          <w:tcPr>
            <w:tcW w:w="1559" w:type="dxa"/>
            <w:vAlign w:val="center"/>
          </w:tcPr>
          <w:p w14:paraId="31571270" w14:textId="066237FB" w:rsidR="005663B4" w:rsidRPr="00E8377F" w:rsidRDefault="005663B4" w:rsidP="006E37EF">
            <w:pPr>
              <w:jc w:val="center"/>
              <w:rPr>
                <w:rFonts w:cstheme="minorHAnsi"/>
                <w:sz w:val="20"/>
                <w:szCs w:val="20"/>
              </w:rPr>
            </w:pPr>
            <w:r w:rsidRPr="00E8377F">
              <w:rPr>
                <w:rFonts w:cstheme="minorHAnsi"/>
                <w:sz w:val="20"/>
                <w:szCs w:val="20"/>
              </w:rPr>
              <w:t>2020.gads</w:t>
            </w:r>
          </w:p>
        </w:tc>
        <w:tc>
          <w:tcPr>
            <w:tcW w:w="1586" w:type="dxa"/>
            <w:vAlign w:val="center"/>
          </w:tcPr>
          <w:p w14:paraId="746B18D1" w14:textId="0061E276" w:rsidR="005663B4" w:rsidRPr="00E8377F" w:rsidRDefault="005663B4" w:rsidP="006E37EF">
            <w:pPr>
              <w:jc w:val="center"/>
              <w:rPr>
                <w:rFonts w:cstheme="minorHAnsi"/>
                <w:sz w:val="20"/>
                <w:szCs w:val="20"/>
              </w:rPr>
            </w:pPr>
            <w:r w:rsidRPr="00E8377F">
              <w:rPr>
                <w:rFonts w:cstheme="minorHAnsi"/>
                <w:sz w:val="20"/>
                <w:szCs w:val="20"/>
              </w:rPr>
              <w:t>2021.gada plāns</w:t>
            </w:r>
          </w:p>
        </w:tc>
        <w:tc>
          <w:tcPr>
            <w:tcW w:w="1249" w:type="dxa"/>
            <w:vAlign w:val="center"/>
          </w:tcPr>
          <w:p w14:paraId="4BA40ABA" w14:textId="205F6B3D" w:rsidR="005663B4" w:rsidRPr="00E8377F" w:rsidRDefault="005663B4" w:rsidP="006E37EF">
            <w:pPr>
              <w:jc w:val="center"/>
              <w:rPr>
                <w:rFonts w:cstheme="minorHAnsi"/>
                <w:sz w:val="20"/>
                <w:szCs w:val="20"/>
              </w:rPr>
            </w:pPr>
            <w:r w:rsidRPr="00E8377F">
              <w:rPr>
                <w:rFonts w:cstheme="minorHAnsi"/>
                <w:sz w:val="20"/>
                <w:szCs w:val="20"/>
              </w:rPr>
              <w:t>2021.gada 1.cet.fakts</w:t>
            </w:r>
          </w:p>
        </w:tc>
      </w:tr>
      <w:tr w:rsidR="005663B4" w:rsidRPr="00E8377F" w14:paraId="21CE53C5" w14:textId="77777777" w:rsidTr="00E8377F">
        <w:trPr>
          <w:trHeight w:val="469"/>
        </w:trPr>
        <w:tc>
          <w:tcPr>
            <w:tcW w:w="4673" w:type="dxa"/>
            <w:vAlign w:val="center"/>
          </w:tcPr>
          <w:p w14:paraId="064CA59D" w14:textId="17BDAED2" w:rsidR="005663B4" w:rsidRPr="00E8377F" w:rsidRDefault="005663B4" w:rsidP="0064485E">
            <w:pPr>
              <w:rPr>
                <w:rFonts w:cstheme="minorHAnsi"/>
                <w:sz w:val="20"/>
                <w:szCs w:val="20"/>
              </w:rPr>
            </w:pPr>
            <w:r w:rsidRPr="00E8377F">
              <w:rPr>
                <w:rFonts w:cstheme="minorHAnsi"/>
                <w:color w:val="000000"/>
                <w:sz w:val="20"/>
                <w:szCs w:val="20"/>
              </w:rPr>
              <w:t>Kopējais stacionāro gultu skaits (perioda beigās)</w:t>
            </w:r>
          </w:p>
        </w:tc>
        <w:tc>
          <w:tcPr>
            <w:tcW w:w="1559" w:type="dxa"/>
            <w:vAlign w:val="center"/>
          </w:tcPr>
          <w:p w14:paraId="457A33D4" w14:textId="749676EB" w:rsidR="005663B4" w:rsidRPr="00E8377F" w:rsidRDefault="005663B4" w:rsidP="008212F0">
            <w:pPr>
              <w:jc w:val="center"/>
              <w:rPr>
                <w:rFonts w:cstheme="minorHAnsi"/>
                <w:sz w:val="20"/>
                <w:szCs w:val="20"/>
              </w:rPr>
            </w:pPr>
            <w:r w:rsidRPr="00E8377F">
              <w:rPr>
                <w:rFonts w:cstheme="minorHAnsi"/>
                <w:sz w:val="20"/>
                <w:szCs w:val="20"/>
              </w:rPr>
              <w:t>318</w:t>
            </w:r>
          </w:p>
        </w:tc>
        <w:tc>
          <w:tcPr>
            <w:tcW w:w="1586" w:type="dxa"/>
            <w:vAlign w:val="center"/>
          </w:tcPr>
          <w:p w14:paraId="7C2323E7" w14:textId="77777777" w:rsidR="005663B4" w:rsidRPr="00E8377F" w:rsidRDefault="005663B4" w:rsidP="008212F0">
            <w:pPr>
              <w:jc w:val="center"/>
              <w:rPr>
                <w:rFonts w:cstheme="minorHAnsi"/>
                <w:sz w:val="20"/>
                <w:szCs w:val="20"/>
              </w:rPr>
            </w:pPr>
            <w:r w:rsidRPr="00E8377F">
              <w:rPr>
                <w:rFonts w:cstheme="minorHAnsi"/>
                <w:sz w:val="20"/>
                <w:szCs w:val="20"/>
              </w:rPr>
              <w:t>325</w:t>
            </w:r>
          </w:p>
        </w:tc>
        <w:tc>
          <w:tcPr>
            <w:tcW w:w="1249" w:type="dxa"/>
            <w:vAlign w:val="center"/>
          </w:tcPr>
          <w:p w14:paraId="6B255797" w14:textId="14B96A21" w:rsidR="005663B4" w:rsidRPr="00E8377F" w:rsidRDefault="005663B4" w:rsidP="008212F0">
            <w:pPr>
              <w:jc w:val="center"/>
              <w:rPr>
                <w:rFonts w:cstheme="minorHAnsi"/>
                <w:sz w:val="20"/>
                <w:szCs w:val="20"/>
              </w:rPr>
            </w:pPr>
            <w:r w:rsidRPr="00E8377F">
              <w:rPr>
                <w:rFonts w:cstheme="minorHAnsi"/>
                <w:sz w:val="20"/>
                <w:szCs w:val="20"/>
              </w:rPr>
              <w:t>320</w:t>
            </w:r>
          </w:p>
        </w:tc>
      </w:tr>
      <w:tr w:rsidR="005663B4" w:rsidRPr="00E8377F" w14:paraId="1823008E" w14:textId="77777777" w:rsidTr="00E8377F">
        <w:trPr>
          <w:trHeight w:val="531"/>
        </w:trPr>
        <w:tc>
          <w:tcPr>
            <w:tcW w:w="4673" w:type="dxa"/>
            <w:vAlign w:val="center"/>
          </w:tcPr>
          <w:p w14:paraId="03707314" w14:textId="77777777" w:rsidR="005663B4" w:rsidRPr="00E8377F" w:rsidRDefault="005663B4" w:rsidP="0064485E">
            <w:pPr>
              <w:rPr>
                <w:rFonts w:cstheme="minorHAnsi"/>
                <w:sz w:val="20"/>
                <w:szCs w:val="20"/>
              </w:rPr>
            </w:pPr>
            <w:r w:rsidRPr="00E8377F">
              <w:rPr>
                <w:rFonts w:cstheme="minorHAnsi"/>
                <w:color w:val="000000"/>
                <w:sz w:val="20"/>
                <w:szCs w:val="20"/>
              </w:rPr>
              <w:t>Praktizējošo ārstu (bez zobārstiem un rezidentiem) un praktizējošo māsu skaita attiecība</w:t>
            </w:r>
          </w:p>
        </w:tc>
        <w:tc>
          <w:tcPr>
            <w:tcW w:w="1559" w:type="dxa"/>
            <w:vAlign w:val="center"/>
          </w:tcPr>
          <w:p w14:paraId="0BFB76D3" w14:textId="4DC133B3" w:rsidR="005663B4" w:rsidRPr="00E8377F" w:rsidRDefault="005663B4" w:rsidP="008212F0">
            <w:pPr>
              <w:jc w:val="center"/>
              <w:rPr>
                <w:rFonts w:cstheme="minorHAnsi"/>
                <w:sz w:val="20"/>
                <w:szCs w:val="20"/>
              </w:rPr>
            </w:pPr>
            <w:r w:rsidRPr="00E8377F">
              <w:rPr>
                <w:rFonts w:cstheme="minorHAnsi"/>
                <w:sz w:val="20"/>
                <w:szCs w:val="20"/>
              </w:rPr>
              <w:t>39/108</w:t>
            </w:r>
          </w:p>
        </w:tc>
        <w:tc>
          <w:tcPr>
            <w:tcW w:w="1586" w:type="dxa"/>
            <w:vAlign w:val="center"/>
          </w:tcPr>
          <w:p w14:paraId="490A24BD" w14:textId="77777777" w:rsidR="005663B4" w:rsidRPr="00E8377F" w:rsidRDefault="005663B4" w:rsidP="008212F0">
            <w:pPr>
              <w:jc w:val="center"/>
              <w:rPr>
                <w:rFonts w:cstheme="minorHAnsi"/>
                <w:sz w:val="20"/>
                <w:szCs w:val="20"/>
              </w:rPr>
            </w:pPr>
            <w:r w:rsidRPr="00E8377F">
              <w:rPr>
                <w:rFonts w:cstheme="minorHAnsi"/>
                <w:sz w:val="20"/>
                <w:szCs w:val="20"/>
              </w:rPr>
              <w:t>42/113</w:t>
            </w:r>
          </w:p>
        </w:tc>
        <w:tc>
          <w:tcPr>
            <w:tcW w:w="1249" w:type="dxa"/>
            <w:vAlign w:val="center"/>
          </w:tcPr>
          <w:p w14:paraId="25304752" w14:textId="68910AA4" w:rsidR="005663B4" w:rsidRPr="00E8377F" w:rsidRDefault="008F3FB2" w:rsidP="008212F0">
            <w:pPr>
              <w:jc w:val="center"/>
              <w:rPr>
                <w:rFonts w:cstheme="minorHAnsi"/>
                <w:color w:val="FF0000"/>
                <w:sz w:val="20"/>
                <w:szCs w:val="20"/>
              </w:rPr>
            </w:pPr>
            <w:r w:rsidRPr="00E8377F">
              <w:rPr>
                <w:rFonts w:cstheme="minorHAnsi"/>
                <w:sz w:val="20"/>
                <w:szCs w:val="20"/>
              </w:rPr>
              <w:t>39</w:t>
            </w:r>
            <w:r w:rsidR="005663B4" w:rsidRPr="00E8377F">
              <w:rPr>
                <w:rFonts w:cstheme="minorHAnsi"/>
                <w:sz w:val="20"/>
                <w:szCs w:val="20"/>
              </w:rPr>
              <w:t>/11</w:t>
            </w:r>
            <w:r w:rsidRPr="00E8377F">
              <w:rPr>
                <w:rFonts w:cstheme="minorHAnsi"/>
                <w:sz w:val="20"/>
                <w:szCs w:val="20"/>
              </w:rPr>
              <w:t>2</w:t>
            </w:r>
          </w:p>
        </w:tc>
      </w:tr>
      <w:tr w:rsidR="005663B4" w:rsidRPr="00E8377F" w14:paraId="20FCA30D" w14:textId="77777777" w:rsidTr="00E8377F">
        <w:trPr>
          <w:trHeight w:val="901"/>
        </w:trPr>
        <w:tc>
          <w:tcPr>
            <w:tcW w:w="4673" w:type="dxa"/>
            <w:vAlign w:val="center"/>
          </w:tcPr>
          <w:p w14:paraId="11D905DB" w14:textId="77777777" w:rsidR="005663B4" w:rsidRPr="00E8377F" w:rsidRDefault="005663B4" w:rsidP="0064485E">
            <w:pPr>
              <w:rPr>
                <w:rFonts w:cstheme="minorHAnsi"/>
                <w:sz w:val="20"/>
                <w:szCs w:val="20"/>
              </w:rPr>
            </w:pPr>
            <w:r w:rsidRPr="00E8377F">
              <w:rPr>
                <w:rFonts w:cstheme="minorHAnsi"/>
                <w:color w:val="000000"/>
                <w:sz w:val="20"/>
                <w:szCs w:val="20"/>
              </w:rPr>
              <w:t>Iestādē strādājošo ārstniecības personu vecuma grupā 25-40 gadiem īpatsvars no kopējā iestādē strādājošo ārstniecības personu skaita, %</w:t>
            </w:r>
          </w:p>
        </w:tc>
        <w:tc>
          <w:tcPr>
            <w:tcW w:w="1559" w:type="dxa"/>
            <w:vAlign w:val="center"/>
          </w:tcPr>
          <w:p w14:paraId="4DC253DC" w14:textId="2CD337F9" w:rsidR="005663B4" w:rsidRPr="00E8377F" w:rsidRDefault="005663B4" w:rsidP="008212F0">
            <w:pPr>
              <w:jc w:val="center"/>
              <w:rPr>
                <w:rFonts w:cstheme="minorHAnsi"/>
                <w:sz w:val="20"/>
                <w:szCs w:val="20"/>
              </w:rPr>
            </w:pPr>
            <w:r w:rsidRPr="00E8377F">
              <w:rPr>
                <w:rFonts w:cstheme="minorHAnsi"/>
                <w:sz w:val="20"/>
                <w:szCs w:val="20"/>
              </w:rPr>
              <w:t>25</w:t>
            </w:r>
          </w:p>
        </w:tc>
        <w:tc>
          <w:tcPr>
            <w:tcW w:w="1586" w:type="dxa"/>
            <w:vAlign w:val="center"/>
          </w:tcPr>
          <w:p w14:paraId="33180CB1" w14:textId="4C40B419" w:rsidR="005663B4" w:rsidRPr="00E8377F" w:rsidRDefault="005663B4" w:rsidP="008212F0">
            <w:pPr>
              <w:jc w:val="center"/>
              <w:rPr>
                <w:rFonts w:cstheme="minorHAnsi"/>
                <w:sz w:val="20"/>
                <w:szCs w:val="20"/>
              </w:rPr>
            </w:pPr>
            <w:r w:rsidRPr="00E8377F">
              <w:rPr>
                <w:rFonts w:cstheme="minorHAnsi"/>
                <w:sz w:val="20"/>
                <w:szCs w:val="20"/>
              </w:rPr>
              <w:t>23</w:t>
            </w:r>
          </w:p>
        </w:tc>
        <w:tc>
          <w:tcPr>
            <w:tcW w:w="1249" w:type="dxa"/>
            <w:vAlign w:val="center"/>
          </w:tcPr>
          <w:p w14:paraId="3CABC01D" w14:textId="77777777" w:rsidR="005663B4" w:rsidRPr="00E8377F" w:rsidRDefault="005663B4" w:rsidP="008212F0">
            <w:pPr>
              <w:jc w:val="center"/>
              <w:rPr>
                <w:rFonts w:cstheme="minorHAnsi"/>
                <w:color w:val="FF0000"/>
                <w:sz w:val="20"/>
                <w:szCs w:val="20"/>
              </w:rPr>
            </w:pPr>
            <w:r w:rsidRPr="00E8377F">
              <w:rPr>
                <w:rFonts w:cstheme="minorHAnsi"/>
                <w:sz w:val="20"/>
                <w:szCs w:val="20"/>
              </w:rPr>
              <w:t>25</w:t>
            </w:r>
          </w:p>
        </w:tc>
      </w:tr>
      <w:tr w:rsidR="005663B4" w:rsidRPr="00E8377F" w14:paraId="51AB0EED" w14:textId="77777777" w:rsidTr="00E8377F">
        <w:trPr>
          <w:trHeight w:val="469"/>
        </w:trPr>
        <w:tc>
          <w:tcPr>
            <w:tcW w:w="4673" w:type="dxa"/>
            <w:vAlign w:val="center"/>
          </w:tcPr>
          <w:p w14:paraId="1707FAA6" w14:textId="77777777" w:rsidR="005663B4" w:rsidRPr="00E8377F" w:rsidRDefault="005663B4" w:rsidP="0064485E">
            <w:pPr>
              <w:rPr>
                <w:rFonts w:cstheme="minorHAnsi"/>
                <w:sz w:val="20"/>
                <w:szCs w:val="20"/>
              </w:rPr>
            </w:pPr>
            <w:r w:rsidRPr="00E8377F">
              <w:rPr>
                <w:rFonts w:cstheme="minorHAnsi"/>
                <w:color w:val="000000"/>
                <w:sz w:val="20"/>
                <w:szCs w:val="20"/>
              </w:rPr>
              <w:t>Vidējais ārstēšanās ilgums, dienas</w:t>
            </w:r>
          </w:p>
        </w:tc>
        <w:tc>
          <w:tcPr>
            <w:tcW w:w="1559" w:type="dxa"/>
            <w:vAlign w:val="center"/>
          </w:tcPr>
          <w:p w14:paraId="28276C60" w14:textId="77777777" w:rsidR="005663B4" w:rsidRPr="00E8377F" w:rsidRDefault="005663B4" w:rsidP="008212F0">
            <w:pPr>
              <w:jc w:val="center"/>
              <w:rPr>
                <w:rFonts w:cstheme="minorHAnsi"/>
                <w:sz w:val="20"/>
                <w:szCs w:val="20"/>
              </w:rPr>
            </w:pPr>
            <w:r w:rsidRPr="00E8377F">
              <w:rPr>
                <w:rFonts w:cstheme="minorHAnsi"/>
                <w:sz w:val="20"/>
                <w:szCs w:val="20"/>
              </w:rPr>
              <w:t>29</w:t>
            </w:r>
          </w:p>
        </w:tc>
        <w:tc>
          <w:tcPr>
            <w:tcW w:w="1586" w:type="dxa"/>
            <w:vAlign w:val="center"/>
          </w:tcPr>
          <w:p w14:paraId="0B756FF3" w14:textId="77777777" w:rsidR="005663B4" w:rsidRPr="00E8377F" w:rsidRDefault="005663B4" w:rsidP="008212F0">
            <w:pPr>
              <w:jc w:val="center"/>
              <w:rPr>
                <w:rFonts w:cstheme="minorHAnsi"/>
                <w:sz w:val="20"/>
                <w:szCs w:val="20"/>
              </w:rPr>
            </w:pPr>
            <w:r w:rsidRPr="00E8377F">
              <w:rPr>
                <w:rFonts w:cstheme="minorHAnsi"/>
                <w:sz w:val="20"/>
                <w:szCs w:val="20"/>
              </w:rPr>
              <w:t>30</w:t>
            </w:r>
          </w:p>
        </w:tc>
        <w:tc>
          <w:tcPr>
            <w:tcW w:w="1249" w:type="dxa"/>
            <w:vAlign w:val="center"/>
          </w:tcPr>
          <w:p w14:paraId="33548549" w14:textId="58BF7722" w:rsidR="005663B4" w:rsidRPr="00E8377F" w:rsidRDefault="005663B4" w:rsidP="008212F0">
            <w:pPr>
              <w:jc w:val="center"/>
              <w:rPr>
                <w:rFonts w:cstheme="minorHAnsi"/>
                <w:sz w:val="20"/>
                <w:szCs w:val="20"/>
              </w:rPr>
            </w:pPr>
            <w:r w:rsidRPr="00E8377F">
              <w:rPr>
                <w:rFonts w:cstheme="minorHAnsi"/>
                <w:sz w:val="20"/>
                <w:szCs w:val="20"/>
              </w:rPr>
              <w:t>28</w:t>
            </w:r>
          </w:p>
        </w:tc>
      </w:tr>
      <w:tr w:rsidR="005663B4" w:rsidRPr="00E8377F" w14:paraId="6FDA00AD" w14:textId="77777777" w:rsidTr="00E8377F">
        <w:trPr>
          <w:trHeight w:val="220"/>
        </w:trPr>
        <w:tc>
          <w:tcPr>
            <w:tcW w:w="4673" w:type="dxa"/>
            <w:vAlign w:val="center"/>
          </w:tcPr>
          <w:p w14:paraId="2A68865F" w14:textId="77777777" w:rsidR="005663B4" w:rsidRPr="00E8377F" w:rsidRDefault="005663B4" w:rsidP="0064485E">
            <w:pPr>
              <w:rPr>
                <w:rFonts w:cstheme="minorHAnsi"/>
                <w:sz w:val="20"/>
                <w:szCs w:val="20"/>
              </w:rPr>
            </w:pPr>
            <w:r w:rsidRPr="00E8377F">
              <w:rPr>
                <w:rFonts w:cstheme="minorHAnsi"/>
                <w:color w:val="000000"/>
                <w:sz w:val="20"/>
                <w:szCs w:val="20"/>
              </w:rPr>
              <w:t>Gultu noslodze, %</w:t>
            </w:r>
          </w:p>
        </w:tc>
        <w:tc>
          <w:tcPr>
            <w:tcW w:w="1559" w:type="dxa"/>
            <w:vAlign w:val="center"/>
          </w:tcPr>
          <w:p w14:paraId="06F7B00D" w14:textId="76C77F91" w:rsidR="005663B4" w:rsidRPr="00E8377F" w:rsidRDefault="005663B4" w:rsidP="008212F0">
            <w:pPr>
              <w:jc w:val="center"/>
              <w:rPr>
                <w:rFonts w:cstheme="minorHAnsi"/>
                <w:sz w:val="20"/>
                <w:szCs w:val="20"/>
              </w:rPr>
            </w:pPr>
            <w:r w:rsidRPr="00E8377F">
              <w:rPr>
                <w:rFonts w:cstheme="minorHAnsi"/>
                <w:sz w:val="20"/>
                <w:szCs w:val="20"/>
              </w:rPr>
              <w:t>77</w:t>
            </w:r>
          </w:p>
        </w:tc>
        <w:tc>
          <w:tcPr>
            <w:tcW w:w="1586" w:type="dxa"/>
            <w:vAlign w:val="center"/>
          </w:tcPr>
          <w:p w14:paraId="6729856A" w14:textId="77777777" w:rsidR="005663B4" w:rsidRPr="00E8377F" w:rsidRDefault="005663B4" w:rsidP="008212F0">
            <w:pPr>
              <w:jc w:val="center"/>
              <w:rPr>
                <w:rFonts w:cstheme="minorHAnsi"/>
                <w:sz w:val="20"/>
                <w:szCs w:val="20"/>
              </w:rPr>
            </w:pPr>
            <w:r w:rsidRPr="00E8377F">
              <w:rPr>
                <w:rFonts w:cstheme="minorHAnsi"/>
                <w:sz w:val="20"/>
                <w:szCs w:val="20"/>
              </w:rPr>
              <w:t>89</w:t>
            </w:r>
          </w:p>
        </w:tc>
        <w:tc>
          <w:tcPr>
            <w:tcW w:w="1249" w:type="dxa"/>
            <w:vAlign w:val="center"/>
          </w:tcPr>
          <w:p w14:paraId="3EF0112B" w14:textId="615CA2A4" w:rsidR="005663B4" w:rsidRPr="00E8377F" w:rsidRDefault="005663B4" w:rsidP="008212F0">
            <w:pPr>
              <w:jc w:val="center"/>
              <w:rPr>
                <w:rFonts w:cstheme="minorHAnsi"/>
                <w:sz w:val="20"/>
                <w:szCs w:val="20"/>
              </w:rPr>
            </w:pPr>
            <w:r w:rsidRPr="00E8377F">
              <w:rPr>
                <w:rFonts w:cstheme="minorHAnsi"/>
                <w:sz w:val="20"/>
                <w:szCs w:val="20"/>
              </w:rPr>
              <w:t>69</w:t>
            </w:r>
          </w:p>
        </w:tc>
      </w:tr>
      <w:tr w:rsidR="005663B4" w:rsidRPr="00E8377F" w14:paraId="34147CE7" w14:textId="77777777" w:rsidTr="00E8377F">
        <w:trPr>
          <w:trHeight w:val="984"/>
        </w:trPr>
        <w:tc>
          <w:tcPr>
            <w:tcW w:w="4673" w:type="dxa"/>
            <w:vAlign w:val="center"/>
          </w:tcPr>
          <w:p w14:paraId="1958EB2E" w14:textId="77777777" w:rsidR="005663B4" w:rsidRPr="00E8377F" w:rsidRDefault="005663B4" w:rsidP="0064485E">
            <w:pPr>
              <w:rPr>
                <w:rFonts w:cstheme="minorHAnsi"/>
                <w:sz w:val="20"/>
                <w:szCs w:val="20"/>
              </w:rPr>
            </w:pPr>
            <w:r w:rsidRPr="00E8377F">
              <w:rPr>
                <w:rFonts w:cstheme="minorHAnsi"/>
                <w:color w:val="000000"/>
                <w:sz w:val="20"/>
                <w:szCs w:val="20"/>
              </w:rPr>
              <w:t>Pacientu ar šizofrēniju, šizotipiskiem traucējumiem vai murgiem neatliekama atkārtota stacionēšana 30 dienu laikā tajā pašā stacionārajā ārstniecības iestādē,%</w:t>
            </w:r>
          </w:p>
        </w:tc>
        <w:tc>
          <w:tcPr>
            <w:tcW w:w="1559" w:type="dxa"/>
            <w:vAlign w:val="center"/>
          </w:tcPr>
          <w:p w14:paraId="034300C8" w14:textId="1E417119" w:rsidR="005663B4" w:rsidRPr="00E8377F" w:rsidRDefault="005663B4" w:rsidP="008212F0">
            <w:pPr>
              <w:jc w:val="center"/>
              <w:rPr>
                <w:rFonts w:cstheme="minorHAnsi"/>
                <w:sz w:val="20"/>
                <w:szCs w:val="20"/>
              </w:rPr>
            </w:pPr>
            <w:r w:rsidRPr="00E8377F">
              <w:rPr>
                <w:rFonts w:cstheme="minorHAnsi"/>
                <w:sz w:val="20"/>
                <w:szCs w:val="20"/>
              </w:rPr>
              <w:t>105/18%</w:t>
            </w:r>
            <w:r w:rsidR="00E36CCA">
              <w:rPr>
                <w:rFonts w:cstheme="minorHAnsi"/>
                <w:sz w:val="20"/>
                <w:szCs w:val="20"/>
              </w:rPr>
              <w:t xml:space="preserve"> (gada rādītājs)</w:t>
            </w:r>
          </w:p>
        </w:tc>
        <w:tc>
          <w:tcPr>
            <w:tcW w:w="1586" w:type="dxa"/>
            <w:vAlign w:val="center"/>
          </w:tcPr>
          <w:p w14:paraId="3C81AD8E" w14:textId="3071DDD2" w:rsidR="005663B4" w:rsidRPr="00E8377F" w:rsidRDefault="005663B4" w:rsidP="008212F0">
            <w:pPr>
              <w:jc w:val="center"/>
              <w:rPr>
                <w:rFonts w:cstheme="minorHAnsi"/>
                <w:sz w:val="20"/>
                <w:szCs w:val="20"/>
              </w:rPr>
            </w:pPr>
            <w:r w:rsidRPr="00E8377F">
              <w:rPr>
                <w:rFonts w:cstheme="minorHAnsi"/>
                <w:sz w:val="20"/>
                <w:szCs w:val="20"/>
              </w:rPr>
              <w:t>112/15%</w:t>
            </w:r>
            <w:r w:rsidR="00E36CCA">
              <w:rPr>
                <w:rFonts w:cstheme="minorHAnsi"/>
                <w:sz w:val="20"/>
                <w:szCs w:val="20"/>
              </w:rPr>
              <w:t xml:space="preserve"> (gada rādītājs)</w:t>
            </w:r>
          </w:p>
        </w:tc>
        <w:tc>
          <w:tcPr>
            <w:tcW w:w="1249" w:type="dxa"/>
            <w:vAlign w:val="center"/>
          </w:tcPr>
          <w:p w14:paraId="55EC0391" w14:textId="583C48E9" w:rsidR="005663B4" w:rsidRPr="00E8377F" w:rsidRDefault="005663B4" w:rsidP="008212F0">
            <w:pPr>
              <w:jc w:val="center"/>
              <w:rPr>
                <w:rFonts w:cstheme="minorHAnsi"/>
                <w:sz w:val="20"/>
                <w:szCs w:val="20"/>
              </w:rPr>
            </w:pPr>
            <w:r w:rsidRPr="00E8377F">
              <w:rPr>
                <w:rFonts w:cstheme="minorHAnsi"/>
                <w:sz w:val="20"/>
                <w:szCs w:val="20"/>
              </w:rPr>
              <w:t>2/3%</w:t>
            </w:r>
          </w:p>
        </w:tc>
      </w:tr>
      <w:tr w:rsidR="005663B4" w:rsidRPr="00E8377F" w14:paraId="63E91951" w14:textId="77777777" w:rsidTr="00C060D0">
        <w:trPr>
          <w:trHeight w:val="1185"/>
        </w:trPr>
        <w:tc>
          <w:tcPr>
            <w:tcW w:w="4673" w:type="dxa"/>
          </w:tcPr>
          <w:p w14:paraId="11086DF5" w14:textId="77777777" w:rsidR="005663B4" w:rsidRPr="00E8377F" w:rsidRDefault="005663B4" w:rsidP="006E37EF">
            <w:pPr>
              <w:rPr>
                <w:rFonts w:cstheme="minorHAnsi"/>
                <w:sz w:val="20"/>
                <w:szCs w:val="20"/>
              </w:rPr>
            </w:pPr>
            <w:r w:rsidRPr="00E8377F">
              <w:rPr>
                <w:rFonts w:cstheme="minorHAnsi"/>
                <w:color w:val="000000"/>
                <w:sz w:val="20"/>
                <w:szCs w:val="20"/>
              </w:rPr>
              <w:t>Uz mājām izrakstīto pacientu, kuri atkārtoti hospitalizēti tajā pašā vai nākamajā dienā (neieskaitot pacientus, kuriem nākamā hospitalizācija ir aprūpe vai rehabilitācija), skaits un īpatsvars, %</w:t>
            </w:r>
          </w:p>
        </w:tc>
        <w:tc>
          <w:tcPr>
            <w:tcW w:w="1559" w:type="dxa"/>
            <w:vAlign w:val="center"/>
          </w:tcPr>
          <w:p w14:paraId="0B6F00C9" w14:textId="296391AE" w:rsidR="005663B4" w:rsidRPr="00E8377F" w:rsidRDefault="005663B4" w:rsidP="008212F0">
            <w:pPr>
              <w:jc w:val="center"/>
              <w:rPr>
                <w:rFonts w:cstheme="minorHAnsi"/>
                <w:sz w:val="20"/>
                <w:szCs w:val="20"/>
              </w:rPr>
            </w:pPr>
            <w:r w:rsidRPr="00E8377F">
              <w:rPr>
                <w:rFonts w:cstheme="minorHAnsi"/>
                <w:sz w:val="20"/>
                <w:szCs w:val="20"/>
              </w:rPr>
              <w:t>21/0.7%</w:t>
            </w:r>
            <w:r w:rsidR="00E36CCA">
              <w:rPr>
                <w:rFonts w:cstheme="minorHAnsi"/>
                <w:sz w:val="20"/>
                <w:szCs w:val="20"/>
              </w:rPr>
              <w:t xml:space="preserve"> (gada rādītājs)</w:t>
            </w:r>
          </w:p>
        </w:tc>
        <w:tc>
          <w:tcPr>
            <w:tcW w:w="1586" w:type="dxa"/>
            <w:vAlign w:val="center"/>
          </w:tcPr>
          <w:p w14:paraId="3C7DDC03" w14:textId="5ED364B7" w:rsidR="005663B4" w:rsidRPr="00E8377F" w:rsidRDefault="005663B4" w:rsidP="008212F0">
            <w:pPr>
              <w:jc w:val="center"/>
              <w:rPr>
                <w:rFonts w:cstheme="minorHAnsi"/>
                <w:sz w:val="20"/>
                <w:szCs w:val="20"/>
              </w:rPr>
            </w:pPr>
            <w:r w:rsidRPr="00E8377F">
              <w:rPr>
                <w:rFonts w:cstheme="minorHAnsi"/>
                <w:sz w:val="20"/>
                <w:szCs w:val="20"/>
              </w:rPr>
              <w:t>28/1%</w:t>
            </w:r>
            <w:r w:rsidR="00E36CCA">
              <w:rPr>
                <w:rFonts w:cstheme="minorHAnsi"/>
                <w:sz w:val="20"/>
                <w:szCs w:val="20"/>
              </w:rPr>
              <w:t xml:space="preserve"> (gada rādītājs)</w:t>
            </w:r>
          </w:p>
        </w:tc>
        <w:tc>
          <w:tcPr>
            <w:tcW w:w="1249" w:type="dxa"/>
            <w:vAlign w:val="center"/>
          </w:tcPr>
          <w:p w14:paraId="436E3362" w14:textId="5FB5222D" w:rsidR="005663B4" w:rsidRPr="00E8377F" w:rsidRDefault="005663B4" w:rsidP="008212F0">
            <w:pPr>
              <w:jc w:val="center"/>
              <w:rPr>
                <w:rFonts w:cstheme="minorHAnsi"/>
                <w:sz w:val="20"/>
                <w:szCs w:val="20"/>
              </w:rPr>
            </w:pPr>
            <w:r w:rsidRPr="00E8377F">
              <w:rPr>
                <w:rFonts w:cstheme="minorHAnsi"/>
                <w:sz w:val="20"/>
                <w:szCs w:val="20"/>
              </w:rPr>
              <w:t>10/1.4%</w:t>
            </w:r>
          </w:p>
        </w:tc>
      </w:tr>
      <w:tr w:rsidR="005663B4" w:rsidRPr="00E8377F" w14:paraId="03066FF3" w14:textId="77777777" w:rsidTr="00E8377F">
        <w:trPr>
          <w:trHeight w:val="220"/>
        </w:trPr>
        <w:tc>
          <w:tcPr>
            <w:tcW w:w="4673" w:type="dxa"/>
          </w:tcPr>
          <w:p w14:paraId="007D2992" w14:textId="77777777" w:rsidR="005663B4" w:rsidRPr="00E8377F" w:rsidRDefault="005663B4" w:rsidP="006E37EF">
            <w:pPr>
              <w:rPr>
                <w:rFonts w:cstheme="minorHAnsi"/>
                <w:sz w:val="20"/>
                <w:szCs w:val="20"/>
              </w:rPr>
            </w:pPr>
            <w:r w:rsidRPr="00E8377F">
              <w:rPr>
                <w:rFonts w:cstheme="minorHAnsi"/>
                <w:color w:val="000000"/>
                <w:sz w:val="20"/>
                <w:szCs w:val="20"/>
              </w:rPr>
              <w:t>Letalitāte stacionārā, %</w:t>
            </w:r>
          </w:p>
        </w:tc>
        <w:tc>
          <w:tcPr>
            <w:tcW w:w="1559" w:type="dxa"/>
            <w:vAlign w:val="center"/>
          </w:tcPr>
          <w:p w14:paraId="5CB08427" w14:textId="2BE4D6EF" w:rsidR="005663B4" w:rsidRPr="00E8377F" w:rsidRDefault="005663B4" w:rsidP="008212F0">
            <w:pPr>
              <w:jc w:val="center"/>
              <w:rPr>
                <w:rFonts w:cstheme="minorHAnsi"/>
                <w:sz w:val="20"/>
                <w:szCs w:val="20"/>
              </w:rPr>
            </w:pPr>
            <w:r w:rsidRPr="00E8377F">
              <w:rPr>
                <w:rFonts w:cstheme="minorHAnsi"/>
                <w:sz w:val="20"/>
                <w:szCs w:val="20"/>
              </w:rPr>
              <w:t>0.84</w:t>
            </w:r>
          </w:p>
        </w:tc>
        <w:tc>
          <w:tcPr>
            <w:tcW w:w="1586" w:type="dxa"/>
            <w:vAlign w:val="center"/>
          </w:tcPr>
          <w:p w14:paraId="7ACABC42" w14:textId="77777777" w:rsidR="005663B4" w:rsidRPr="00E8377F" w:rsidRDefault="005663B4" w:rsidP="008212F0">
            <w:pPr>
              <w:jc w:val="center"/>
              <w:rPr>
                <w:rFonts w:cstheme="minorHAnsi"/>
                <w:sz w:val="20"/>
                <w:szCs w:val="20"/>
              </w:rPr>
            </w:pPr>
            <w:r w:rsidRPr="00E8377F">
              <w:rPr>
                <w:rFonts w:cstheme="minorHAnsi"/>
                <w:sz w:val="20"/>
                <w:szCs w:val="20"/>
              </w:rPr>
              <w:t>0.90</w:t>
            </w:r>
          </w:p>
        </w:tc>
        <w:tc>
          <w:tcPr>
            <w:tcW w:w="1249" w:type="dxa"/>
            <w:vAlign w:val="center"/>
          </w:tcPr>
          <w:p w14:paraId="4EA53174" w14:textId="07564F6C" w:rsidR="005663B4" w:rsidRPr="00E8377F" w:rsidRDefault="005663B4" w:rsidP="008212F0">
            <w:pPr>
              <w:jc w:val="center"/>
              <w:rPr>
                <w:rFonts w:cstheme="minorHAnsi"/>
                <w:color w:val="FF0000"/>
                <w:sz w:val="20"/>
                <w:szCs w:val="20"/>
              </w:rPr>
            </w:pPr>
            <w:r w:rsidRPr="00E8377F">
              <w:rPr>
                <w:rFonts w:cstheme="minorHAnsi"/>
                <w:sz w:val="20"/>
                <w:szCs w:val="20"/>
              </w:rPr>
              <w:t>0.99</w:t>
            </w:r>
          </w:p>
        </w:tc>
      </w:tr>
    </w:tbl>
    <w:p w14:paraId="2EC22818" w14:textId="77777777" w:rsidR="00433243" w:rsidRDefault="00433243" w:rsidP="008D79D0">
      <w:pPr>
        <w:spacing w:after="0"/>
        <w:rPr>
          <w:rFonts w:cstheme="minorHAnsi"/>
          <w:b/>
          <w:bCs/>
        </w:rPr>
      </w:pPr>
    </w:p>
    <w:p w14:paraId="7D0DDF77" w14:textId="6B04B5DF" w:rsidR="008D79D0" w:rsidRPr="003D07A2" w:rsidRDefault="008D79D0" w:rsidP="008D79D0">
      <w:pPr>
        <w:spacing w:after="0"/>
        <w:rPr>
          <w:rFonts w:cstheme="minorHAnsi"/>
          <w:b/>
          <w:bCs/>
        </w:rPr>
      </w:pPr>
      <w:r w:rsidRPr="003D07A2">
        <w:rPr>
          <w:rFonts w:cstheme="minorHAnsi"/>
          <w:b/>
          <w:bCs/>
        </w:rPr>
        <w:t>Personāls</w:t>
      </w:r>
    </w:p>
    <w:p w14:paraId="1842D211" w14:textId="7340BE55" w:rsidR="000A70AD" w:rsidRPr="003D07A2" w:rsidRDefault="00E56624" w:rsidP="00712DD6">
      <w:pPr>
        <w:spacing w:before="100" w:beforeAutospacing="1" w:after="100" w:afterAutospacing="1"/>
        <w:jc w:val="both"/>
        <w:rPr>
          <w:rFonts w:cstheme="minorHAnsi"/>
        </w:rPr>
      </w:pPr>
      <w:r w:rsidRPr="003D07A2">
        <w:rPr>
          <w:rFonts w:cstheme="minorHAnsi"/>
        </w:rPr>
        <w:t>Sabiedrībā pārskata periodā vidēji nodarbināti 5</w:t>
      </w:r>
      <w:r w:rsidR="00215612">
        <w:rPr>
          <w:rFonts w:cstheme="minorHAnsi"/>
        </w:rPr>
        <w:t>61</w:t>
      </w:r>
      <w:r w:rsidRPr="003D07A2">
        <w:rPr>
          <w:rFonts w:cstheme="minorHAnsi"/>
        </w:rPr>
        <w:t xml:space="preserve"> darbinieki, kas ir par </w:t>
      </w:r>
      <w:r w:rsidR="00215612">
        <w:rPr>
          <w:rFonts w:cstheme="minorHAnsi"/>
        </w:rPr>
        <w:t>8</w:t>
      </w:r>
      <w:r w:rsidRPr="003D07A2">
        <w:rPr>
          <w:rFonts w:cstheme="minorHAnsi"/>
        </w:rPr>
        <w:t xml:space="preserve"> darbinieku vairāk kā 20</w:t>
      </w:r>
      <w:r w:rsidR="00215612">
        <w:rPr>
          <w:rFonts w:cstheme="minorHAnsi"/>
        </w:rPr>
        <w:t>20</w:t>
      </w:r>
      <w:r w:rsidRPr="003D07A2">
        <w:rPr>
          <w:rFonts w:cstheme="minorHAnsi"/>
        </w:rPr>
        <w:t>.gada salīdzināmajā periodā</w:t>
      </w:r>
      <w:r w:rsidR="004A4E51" w:rsidRPr="003D07A2">
        <w:rPr>
          <w:rFonts w:cstheme="minorHAnsi"/>
        </w:rPr>
        <w:t>.</w:t>
      </w:r>
      <w:r w:rsidRPr="003D07A2">
        <w:rPr>
          <w:rFonts w:cstheme="minorHAnsi"/>
        </w:rPr>
        <w:t xml:space="preserve"> Nodarbināto skaits palielinājies ārstu un funkcionālo speciālistu,</w:t>
      </w:r>
      <w:r w:rsidR="00215612">
        <w:rPr>
          <w:rFonts w:cstheme="minorHAnsi"/>
        </w:rPr>
        <w:t xml:space="preserve"> māsu,</w:t>
      </w:r>
      <w:r w:rsidRPr="003D07A2">
        <w:rPr>
          <w:rFonts w:cstheme="minorHAnsi"/>
        </w:rPr>
        <w:t xml:space="preserve"> kā arī pārējo darbinieku grupā, kas </w:t>
      </w:r>
      <w:r w:rsidR="004A4E51" w:rsidRPr="003D07A2">
        <w:rPr>
          <w:rFonts w:cstheme="minorHAnsi"/>
        </w:rPr>
        <w:t>saistīts</w:t>
      </w:r>
      <w:r w:rsidR="00215612">
        <w:rPr>
          <w:rFonts w:cstheme="minorHAnsi"/>
        </w:rPr>
        <w:t xml:space="preserve"> ar darbinieku </w:t>
      </w:r>
      <w:r w:rsidR="004A4E51" w:rsidRPr="003D07A2">
        <w:rPr>
          <w:rFonts w:cstheme="minorHAnsi"/>
        </w:rPr>
        <w:t xml:space="preserve"> saslimstīb</w:t>
      </w:r>
      <w:r w:rsidR="00215612">
        <w:rPr>
          <w:rFonts w:cstheme="minorHAnsi"/>
        </w:rPr>
        <w:t>u</w:t>
      </w:r>
      <w:r w:rsidR="004A4E51" w:rsidRPr="003D07A2">
        <w:rPr>
          <w:rFonts w:cstheme="minorHAnsi"/>
        </w:rPr>
        <w:t xml:space="preserve"> ar COVID-19 vai viņu prombūtn</w:t>
      </w:r>
      <w:r w:rsidR="00215612">
        <w:rPr>
          <w:rFonts w:cstheme="minorHAnsi"/>
        </w:rPr>
        <w:t>i</w:t>
      </w:r>
      <w:r w:rsidR="004A4E51" w:rsidRPr="003D07A2">
        <w:rPr>
          <w:rFonts w:cstheme="minorHAnsi"/>
        </w:rPr>
        <w:t xml:space="preserve"> sakarā ar kontaktpersonas statusu, slimnīcas ikdienas darbības nepārtrauktībai uz ārkārtējās situācijas laiku tika pieņemtas darbā gan māsas, gan māsu palīgi, gan sanitāri.</w:t>
      </w:r>
      <w:r w:rsidR="00215612">
        <w:rPr>
          <w:rFonts w:cstheme="minorHAnsi"/>
        </w:rPr>
        <w:t xml:space="preserve"> Pārskata periodā ir jaunizveidotas 2.5 funkcionālo speciālistu amata slodzes un darba attiecības uzsākuši 5 mākslas terapeiti.</w:t>
      </w:r>
    </w:p>
    <w:p w14:paraId="56819723" w14:textId="6C3D6F3B" w:rsidR="00E56624" w:rsidRPr="003D07A2" w:rsidRDefault="00E56624" w:rsidP="00712DD6">
      <w:pPr>
        <w:spacing w:before="100" w:beforeAutospacing="1" w:after="100" w:afterAutospacing="1"/>
        <w:jc w:val="both"/>
        <w:rPr>
          <w:rFonts w:cstheme="minorHAnsi"/>
        </w:rPr>
      </w:pPr>
      <w:r w:rsidRPr="003D07A2">
        <w:rPr>
          <w:rFonts w:cstheme="minorHAnsi"/>
        </w:rPr>
        <w:t xml:space="preserve">Sabiedrībā finansētas vidēji </w:t>
      </w:r>
      <w:r w:rsidR="00215612">
        <w:rPr>
          <w:rFonts w:cstheme="minorHAnsi"/>
        </w:rPr>
        <w:t>53</w:t>
      </w:r>
      <w:r w:rsidRPr="003D07A2">
        <w:rPr>
          <w:rFonts w:cstheme="minorHAnsi"/>
        </w:rPr>
        <w:t xml:space="preserve"> ārstu, </w:t>
      </w:r>
      <w:r w:rsidR="004236A1" w:rsidRPr="003D07A2">
        <w:rPr>
          <w:rFonts w:cstheme="minorHAnsi"/>
        </w:rPr>
        <w:t>tai skaitā 1</w:t>
      </w:r>
      <w:r w:rsidR="00937CAF">
        <w:rPr>
          <w:rFonts w:cstheme="minorHAnsi"/>
        </w:rPr>
        <w:t>2</w:t>
      </w:r>
      <w:r w:rsidR="007B5DB1" w:rsidRPr="003D07A2">
        <w:rPr>
          <w:rFonts w:cstheme="minorHAnsi"/>
        </w:rPr>
        <w:t>.5</w:t>
      </w:r>
      <w:r w:rsidR="004236A1" w:rsidRPr="003D07A2">
        <w:rPr>
          <w:rFonts w:cstheme="minorHAnsi"/>
        </w:rPr>
        <w:t xml:space="preserve"> </w:t>
      </w:r>
      <w:r w:rsidRPr="003D07A2">
        <w:rPr>
          <w:rFonts w:cstheme="minorHAnsi"/>
        </w:rPr>
        <w:t xml:space="preserve">funkcionālo speciālistu slodzes; </w:t>
      </w:r>
      <w:r w:rsidR="00BA1E07" w:rsidRPr="003D07A2">
        <w:rPr>
          <w:rFonts w:cstheme="minorHAnsi"/>
        </w:rPr>
        <w:t>9</w:t>
      </w:r>
      <w:r w:rsidR="00937CAF">
        <w:rPr>
          <w:rFonts w:cstheme="minorHAnsi"/>
        </w:rPr>
        <w:t>9</w:t>
      </w:r>
      <w:r w:rsidR="00BA1E07" w:rsidRPr="003D07A2">
        <w:rPr>
          <w:rFonts w:cstheme="minorHAnsi"/>
        </w:rPr>
        <w:t xml:space="preserve"> māsu slodzes; 7</w:t>
      </w:r>
      <w:r w:rsidR="00937CAF">
        <w:rPr>
          <w:rFonts w:cstheme="minorHAnsi"/>
        </w:rPr>
        <w:t>4</w:t>
      </w:r>
      <w:r w:rsidR="00BA1E07" w:rsidRPr="003D07A2">
        <w:rPr>
          <w:rFonts w:cstheme="minorHAnsi"/>
        </w:rPr>
        <w:t xml:space="preserve"> māsu palīgu slodzes; 17 administratīvā personāla slodzes; 2</w:t>
      </w:r>
      <w:r w:rsidR="00937CAF">
        <w:rPr>
          <w:rFonts w:cstheme="minorHAnsi"/>
        </w:rPr>
        <w:t>64</w:t>
      </w:r>
      <w:r w:rsidR="00BA1E07" w:rsidRPr="003D07A2">
        <w:rPr>
          <w:rFonts w:cstheme="minorHAnsi"/>
        </w:rPr>
        <w:t xml:space="preserve"> pārējo darbinieku slodzes. Salīdzinoši ar 20</w:t>
      </w:r>
      <w:r w:rsidR="00937CAF">
        <w:rPr>
          <w:rFonts w:cstheme="minorHAnsi"/>
        </w:rPr>
        <w:t>20</w:t>
      </w:r>
      <w:r w:rsidR="00BA1E07" w:rsidRPr="003D07A2">
        <w:rPr>
          <w:rFonts w:cstheme="minorHAnsi"/>
        </w:rPr>
        <w:t xml:space="preserve">. gadu – vairāk par </w:t>
      </w:r>
      <w:r w:rsidR="00937CAF">
        <w:rPr>
          <w:rFonts w:cstheme="minorHAnsi"/>
        </w:rPr>
        <w:t>13</w:t>
      </w:r>
      <w:r w:rsidR="00BA1E07" w:rsidRPr="003D07A2">
        <w:rPr>
          <w:rFonts w:cstheme="minorHAnsi"/>
        </w:rPr>
        <w:t xml:space="preserve"> slodzēm, bet attiecīgi pret plānoto – mazāk par </w:t>
      </w:r>
      <w:r w:rsidR="00937CAF">
        <w:rPr>
          <w:rFonts w:cstheme="minorHAnsi"/>
        </w:rPr>
        <w:t>22</w:t>
      </w:r>
      <w:r w:rsidR="00BA1E07" w:rsidRPr="003D07A2">
        <w:rPr>
          <w:rFonts w:cstheme="minorHAnsi"/>
        </w:rPr>
        <w:t xml:space="preserve"> slodzēm.</w:t>
      </w:r>
    </w:p>
    <w:p w14:paraId="44900610" w14:textId="3D1370A0" w:rsidR="00BA1E07" w:rsidRPr="003D07A2" w:rsidRDefault="00BA1E07" w:rsidP="00712DD6">
      <w:pPr>
        <w:spacing w:before="100" w:beforeAutospacing="1" w:after="100" w:afterAutospacing="1"/>
        <w:jc w:val="both"/>
        <w:rPr>
          <w:rFonts w:cstheme="minorHAnsi"/>
        </w:rPr>
      </w:pPr>
      <w:r w:rsidRPr="003D07A2">
        <w:rPr>
          <w:rFonts w:cstheme="minorHAnsi"/>
        </w:rPr>
        <w:t xml:space="preserve">Darbinieku mainība pārskata periodā ir </w:t>
      </w:r>
      <w:r w:rsidR="00937CAF">
        <w:rPr>
          <w:rFonts w:cstheme="minorHAnsi"/>
        </w:rPr>
        <w:t>8</w:t>
      </w:r>
      <w:r w:rsidRPr="003D07A2">
        <w:rPr>
          <w:rFonts w:cstheme="minorHAnsi"/>
        </w:rPr>
        <w:t xml:space="preserve">%, kas ir par </w:t>
      </w:r>
      <w:r w:rsidR="00937CAF">
        <w:rPr>
          <w:rFonts w:cstheme="minorHAnsi"/>
        </w:rPr>
        <w:t>4</w:t>
      </w:r>
      <w:r w:rsidRPr="003D07A2">
        <w:rPr>
          <w:rFonts w:cstheme="minorHAnsi"/>
        </w:rPr>
        <w:t xml:space="preserve">% </w:t>
      </w:r>
      <w:r w:rsidR="007B5DB1" w:rsidRPr="003D07A2">
        <w:rPr>
          <w:rFonts w:cstheme="minorHAnsi"/>
        </w:rPr>
        <w:t>vairāk</w:t>
      </w:r>
      <w:r w:rsidRPr="003D07A2">
        <w:rPr>
          <w:rFonts w:cstheme="minorHAnsi"/>
        </w:rPr>
        <w:t xml:space="preserve"> kā 20</w:t>
      </w:r>
      <w:r w:rsidR="00937CAF">
        <w:rPr>
          <w:rFonts w:cstheme="minorHAnsi"/>
        </w:rPr>
        <w:t>20</w:t>
      </w:r>
      <w:r w:rsidRPr="003D07A2">
        <w:rPr>
          <w:rFonts w:cstheme="minorHAnsi"/>
        </w:rPr>
        <w:t>. gadā.</w:t>
      </w:r>
    </w:p>
    <w:p w14:paraId="64456050" w14:textId="69C417F0" w:rsidR="00BA1E07" w:rsidRPr="003D07A2" w:rsidRDefault="00BA1E07" w:rsidP="00712DD6">
      <w:pPr>
        <w:spacing w:before="100" w:beforeAutospacing="1" w:after="100" w:afterAutospacing="1"/>
        <w:jc w:val="both"/>
        <w:rPr>
          <w:rFonts w:cstheme="minorHAnsi"/>
        </w:rPr>
      </w:pPr>
      <w:r w:rsidRPr="003D07A2">
        <w:rPr>
          <w:rFonts w:cstheme="minorHAnsi"/>
        </w:rPr>
        <w:t>Pārskata periodā Sabiedrība nodrošināja vidējo darba samaksu 1</w:t>
      </w:r>
      <w:r w:rsidR="00937CAF">
        <w:rPr>
          <w:rFonts w:cstheme="minorHAnsi"/>
        </w:rPr>
        <w:t>347</w:t>
      </w:r>
      <w:r w:rsidRPr="003D07A2">
        <w:rPr>
          <w:rFonts w:cstheme="minorHAnsi"/>
        </w:rPr>
        <w:t xml:space="preserve"> euro apmērā, kas ir par </w:t>
      </w:r>
      <w:r w:rsidR="00937CAF">
        <w:rPr>
          <w:rFonts w:cstheme="minorHAnsi"/>
        </w:rPr>
        <w:t>336</w:t>
      </w:r>
      <w:r w:rsidRPr="003D07A2">
        <w:rPr>
          <w:rFonts w:cstheme="minorHAnsi"/>
        </w:rPr>
        <w:t xml:space="preserve"> euro vairāk kā 20</w:t>
      </w:r>
      <w:r w:rsidR="00937CAF">
        <w:rPr>
          <w:rFonts w:cstheme="minorHAnsi"/>
        </w:rPr>
        <w:t>20</w:t>
      </w:r>
      <w:r w:rsidRPr="003D07A2">
        <w:rPr>
          <w:rFonts w:cstheme="minorHAnsi"/>
        </w:rPr>
        <w:t xml:space="preserve">.gada periodā un par </w:t>
      </w:r>
      <w:r w:rsidR="00937CAF">
        <w:rPr>
          <w:rFonts w:cstheme="minorHAnsi"/>
        </w:rPr>
        <w:t>31</w:t>
      </w:r>
      <w:r w:rsidRPr="003D07A2">
        <w:rPr>
          <w:rFonts w:cstheme="minorHAnsi"/>
        </w:rPr>
        <w:t xml:space="preserve"> euro </w:t>
      </w:r>
      <w:r w:rsidR="00C46A99" w:rsidRPr="003D07A2">
        <w:rPr>
          <w:rFonts w:cstheme="minorHAnsi"/>
        </w:rPr>
        <w:t>vairāk</w:t>
      </w:r>
      <w:r w:rsidRPr="003D07A2">
        <w:rPr>
          <w:rFonts w:cstheme="minorHAnsi"/>
        </w:rPr>
        <w:t xml:space="preserve"> kā sākotnēji plānots.</w:t>
      </w:r>
    </w:p>
    <w:p w14:paraId="548CC85C" w14:textId="0771BCC7" w:rsidR="00B3257E" w:rsidRPr="003D07A2" w:rsidRDefault="00B3257E" w:rsidP="00712DD6">
      <w:pPr>
        <w:spacing w:before="100" w:beforeAutospacing="1" w:after="100" w:afterAutospacing="1"/>
        <w:jc w:val="both"/>
        <w:rPr>
          <w:rFonts w:cstheme="minorHAnsi"/>
        </w:rPr>
      </w:pPr>
      <w:r w:rsidRPr="003D07A2">
        <w:rPr>
          <w:rFonts w:cstheme="minorHAnsi"/>
        </w:rPr>
        <w:t xml:space="preserve">Būtiska ietekme diennakts stacionārā nodarbināto vidējai darba samaksai ir piemaksas darbiniekiem saskaņā </w:t>
      </w:r>
      <w:r w:rsidR="00937CAF">
        <w:rPr>
          <w:rFonts w:cstheme="minorHAnsi"/>
        </w:rPr>
        <w:t>ar 28.04.2021.</w:t>
      </w:r>
      <w:r w:rsidRPr="003D07A2">
        <w:rPr>
          <w:rFonts w:cstheme="minorHAnsi"/>
        </w:rPr>
        <w:t xml:space="preserve"> VM rīk.Nr.</w:t>
      </w:r>
      <w:r w:rsidR="00937CAF">
        <w:rPr>
          <w:rFonts w:cstheme="minorHAnsi"/>
        </w:rPr>
        <w:t>17</w:t>
      </w:r>
      <w:r w:rsidRPr="003D07A2">
        <w:rPr>
          <w:rFonts w:cstheme="minorHAnsi"/>
        </w:rPr>
        <w:t xml:space="preserve"> (par COVID-19 pacientu ārstēšanu, testēšanu, uzņemšanas nodaļa), kā arī papildus virsstundu apmaksa ārkārtējās situācijas laikā</w:t>
      </w:r>
      <w:r w:rsidR="00215612">
        <w:rPr>
          <w:rFonts w:cstheme="minorHAnsi"/>
        </w:rPr>
        <w:t>.</w:t>
      </w:r>
    </w:p>
    <w:p w14:paraId="37EF4F75" w14:textId="796A9775" w:rsidR="00316600" w:rsidRPr="003D07A2" w:rsidRDefault="00316600" w:rsidP="00712DD6">
      <w:pPr>
        <w:spacing w:before="100" w:beforeAutospacing="1" w:after="100" w:afterAutospacing="1"/>
        <w:jc w:val="both"/>
        <w:rPr>
          <w:rFonts w:cstheme="minorHAnsi"/>
        </w:rPr>
      </w:pPr>
      <w:r w:rsidRPr="003D07A2">
        <w:rPr>
          <w:rFonts w:cstheme="minorHAnsi"/>
        </w:rPr>
        <w:t>2020.gadā virsstundu darbā iesaistīti 1</w:t>
      </w:r>
      <w:r w:rsidR="00937CAF">
        <w:rPr>
          <w:rFonts w:cstheme="minorHAnsi"/>
        </w:rPr>
        <w:t>16</w:t>
      </w:r>
      <w:r w:rsidRPr="003D07A2">
        <w:rPr>
          <w:rFonts w:cstheme="minorHAnsi"/>
        </w:rPr>
        <w:t xml:space="preserve"> ārstniecības personas, nostrādājot </w:t>
      </w:r>
      <w:r w:rsidR="00937CAF">
        <w:rPr>
          <w:rFonts w:cstheme="minorHAnsi"/>
        </w:rPr>
        <w:t>3754</w:t>
      </w:r>
      <w:r w:rsidRPr="003D07A2">
        <w:rPr>
          <w:rFonts w:cstheme="minorHAnsi"/>
        </w:rPr>
        <w:t xml:space="preserve"> virsstundas, salīdzinoši </w:t>
      </w:r>
      <w:r w:rsidR="00712DD6" w:rsidRPr="003D07A2">
        <w:rPr>
          <w:rFonts w:cstheme="minorHAnsi"/>
        </w:rPr>
        <w:t xml:space="preserve">– </w:t>
      </w:r>
      <w:r w:rsidRPr="003D07A2">
        <w:rPr>
          <w:rFonts w:cstheme="minorHAnsi"/>
        </w:rPr>
        <w:t>20</w:t>
      </w:r>
      <w:r w:rsidR="00937CAF">
        <w:rPr>
          <w:rFonts w:cstheme="minorHAnsi"/>
        </w:rPr>
        <w:t>20</w:t>
      </w:r>
      <w:r w:rsidRPr="003D07A2">
        <w:rPr>
          <w:rFonts w:cstheme="minorHAnsi"/>
        </w:rPr>
        <w:t xml:space="preserve">.gadā virsstundu darbā nodarbinātas </w:t>
      </w:r>
      <w:r w:rsidR="00937CAF">
        <w:rPr>
          <w:rFonts w:cstheme="minorHAnsi"/>
        </w:rPr>
        <w:t>8</w:t>
      </w:r>
      <w:r w:rsidRPr="003D07A2">
        <w:rPr>
          <w:rFonts w:cstheme="minorHAnsi"/>
        </w:rPr>
        <w:t xml:space="preserve"> ārstniecības personas, kopā </w:t>
      </w:r>
      <w:r w:rsidR="00937CAF">
        <w:rPr>
          <w:rFonts w:cstheme="minorHAnsi"/>
        </w:rPr>
        <w:t>324.84</w:t>
      </w:r>
      <w:r w:rsidRPr="003D07A2">
        <w:rPr>
          <w:rFonts w:cstheme="minorHAnsi"/>
        </w:rPr>
        <w:t xml:space="preserve"> virsstundas.</w:t>
      </w:r>
    </w:p>
    <w:p w14:paraId="00AB455C" w14:textId="1F3B76D4" w:rsidR="001F17FA" w:rsidRPr="003D07A2" w:rsidRDefault="001F17FA" w:rsidP="00712DD6">
      <w:pPr>
        <w:spacing w:before="100" w:beforeAutospacing="1" w:after="100" w:afterAutospacing="1"/>
        <w:jc w:val="both"/>
        <w:rPr>
          <w:rFonts w:cstheme="minorHAnsi"/>
        </w:rPr>
      </w:pPr>
      <w:r w:rsidRPr="003D07A2">
        <w:rPr>
          <w:rFonts w:cstheme="minorHAnsi"/>
        </w:rPr>
        <w:t xml:space="preserve">Izdevumi atalgojumam pārskata perioda neizpilde saistīta ar darbinieku darba nespēju </w:t>
      </w:r>
      <w:r w:rsidR="00712DD6" w:rsidRPr="003D07A2">
        <w:rPr>
          <w:rFonts w:cstheme="minorHAnsi"/>
        </w:rPr>
        <w:t xml:space="preserve">– </w:t>
      </w:r>
      <w:r w:rsidRPr="003D07A2">
        <w:rPr>
          <w:rFonts w:cstheme="minorHAnsi"/>
        </w:rPr>
        <w:t xml:space="preserve">pārskata periodā kopā </w:t>
      </w:r>
      <w:r w:rsidR="00937CAF">
        <w:rPr>
          <w:rFonts w:cstheme="minorHAnsi"/>
        </w:rPr>
        <w:t>30401</w:t>
      </w:r>
      <w:r w:rsidRPr="003D07A2">
        <w:rPr>
          <w:rFonts w:cstheme="minorHAnsi"/>
        </w:rPr>
        <w:t>h B lapas (20</w:t>
      </w:r>
      <w:r w:rsidR="00937CAF">
        <w:rPr>
          <w:rFonts w:cstheme="minorHAnsi"/>
        </w:rPr>
        <w:t>20</w:t>
      </w:r>
      <w:r w:rsidRPr="003D07A2">
        <w:rPr>
          <w:rFonts w:cstheme="minorHAnsi"/>
        </w:rPr>
        <w:t>.gadā -</w:t>
      </w:r>
      <w:r w:rsidR="00937CAF">
        <w:rPr>
          <w:rFonts w:cstheme="minorHAnsi"/>
        </w:rPr>
        <w:t>12492.5</w:t>
      </w:r>
      <w:r w:rsidRPr="003D07A2">
        <w:rPr>
          <w:rFonts w:cstheme="minorHAnsi"/>
        </w:rPr>
        <w:t xml:space="preserve"> h).</w:t>
      </w:r>
    </w:p>
    <w:p w14:paraId="5058EE26" w14:textId="67119523" w:rsidR="00603C3A" w:rsidRPr="003D07A2" w:rsidRDefault="00603C3A" w:rsidP="00712DD6">
      <w:pPr>
        <w:spacing w:before="100" w:beforeAutospacing="1" w:after="100" w:afterAutospacing="1"/>
        <w:jc w:val="center"/>
        <w:rPr>
          <w:rFonts w:cstheme="minorHAnsi"/>
          <w:b/>
          <w:bCs/>
        </w:rPr>
      </w:pPr>
      <w:r w:rsidRPr="003D07A2">
        <w:rPr>
          <w:rFonts w:cstheme="minorHAnsi"/>
          <w:b/>
          <w:bCs/>
        </w:rPr>
        <w:t>Vidējā darba samaksa, euro uz slodzi</w:t>
      </w:r>
    </w:p>
    <w:tbl>
      <w:tblPr>
        <w:tblStyle w:val="Reatabula"/>
        <w:tblW w:w="8495" w:type="dxa"/>
        <w:tblLayout w:type="fixed"/>
        <w:tblLook w:val="04A0" w:firstRow="1" w:lastRow="0" w:firstColumn="1" w:lastColumn="0" w:noHBand="0" w:noVBand="1"/>
      </w:tblPr>
      <w:tblGrid>
        <w:gridCol w:w="2601"/>
        <w:gridCol w:w="1012"/>
        <w:gridCol w:w="1105"/>
        <w:gridCol w:w="1106"/>
        <w:gridCol w:w="872"/>
        <w:gridCol w:w="872"/>
        <w:gridCol w:w="927"/>
      </w:tblGrid>
      <w:tr w:rsidR="00603C3A" w:rsidRPr="003D07A2" w14:paraId="14F426FB" w14:textId="77777777" w:rsidTr="006E19E2">
        <w:trPr>
          <w:trHeight w:val="905"/>
        </w:trPr>
        <w:tc>
          <w:tcPr>
            <w:tcW w:w="2601" w:type="dxa"/>
            <w:vAlign w:val="center"/>
          </w:tcPr>
          <w:p w14:paraId="7EB4F6DA" w14:textId="77777777" w:rsidR="00603C3A" w:rsidRPr="003D07A2" w:rsidRDefault="00603C3A" w:rsidP="006E37EF">
            <w:pPr>
              <w:jc w:val="center"/>
              <w:rPr>
                <w:rFonts w:cstheme="minorHAnsi"/>
              </w:rPr>
            </w:pPr>
            <w:r w:rsidRPr="003D07A2">
              <w:rPr>
                <w:rFonts w:cstheme="minorHAnsi"/>
              </w:rPr>
              <w:t>D</w:t>
            </w:r>
            <w:r w:rsidR="009520DF" w:rsidRPr="003D07A2">
              <w:rPr>
                <w:rFonts w:cstheme="minorHAnsi"/>
              </w:rPr>
              <w:t>a</w:t>
            </w:r>
            <w:r w:rsidRPr="003D07A2">
              <w:rPr>
                <w:rFonts w:cstheme="minorHAnsi"/>
              </w:rPr>
              <w:t>rbinieku kategorija</w:t>
            </w:r>
          </w:p>
        </w:tc>
        <w:tc>
          <w:tcPr>
            <w:tcW w:w="1012" w:type="dxa"/>
            <w:vAlign w:val="center"/>
          </w:tcPr>
          <w:p w14:paraId="7F6EFB3C" w14:textId="46AB1802" w:rsidR="00603C3A" w:rsidRPr="003D07A2" w:rsidRDefault="00603C3A" w:rsidP="006E37EF">
            <w:pPr>
              <w:jc w:val="center"/>
              <w:rPr>
                <w:rFonts w:cstheme="minorHAnsi"/>
                <w:sz w:val="18"/>
                <w:szCs w:val="18"/>
              </w:rPr>
            </w:pPr>
            <w:r w:rsidRPr="003D07A2">
              <w:rPr>
                <w:rFonts w:cstheme="minorHAnsi"/>
                <w:sz w:val="18"/>
                <w:szCs w:val="18"/>
              </w:rPr>
              <w:t>20</w:t>
            </w:r>
            <w:r w:rsidR="006A5EFC">
              <w:rPr>
                <w:rFonts w:cstheme="minorHAnsi"/>
                <w:sz w:val="18"/>
                <w:szCs w:val="18"/>
              </w:rPr>
              <w:t>20</w:t>
            </w:r>
            <w:r w:rsidRPr="003D07A2">
              <w:rPr>
                <w:rFonts w:cstheme="minorHAnsi"/>
                <w:sz w:val="18"/>
                <w:szCs w:val="18"/>
              </w:rPr>
              <w:t>.g</w:t>
            </w:r>
            <w:r w:rsidR="009520DF" w:rsidRPr="003D07A2">
              <w:rPr>
                <w:rFonts w:cstheme="minorHAnsi"/>
                <w:sz w:val="18"/>
                <w:szCs w:val="18"/>
              </w:rPr>
              <w:t>ads</w:t>
            </w:r>
          </w:p>
        </w:tc>
        <w:tc>
          <w:tcPr>
            <w:tcW w:w="1105" w:type="dxa"/>
            <w:vAlign w:val="center"/>
          </w:tcPr>
          <w:p w14:paraId="5FA91851" w14:textId="19D458BE" w:rsidR="00603C3A" w:rsidRPr="003D07A2" w:rsidRDefault="00603C3A" w:rsidP="006E37EF">
            <w:pPr>
              <w:jc w:val="center"/>
              <w:rPr>
                <w:rFonts w:cstheme="minorHAnsi"/>
                <w:sz w:val="18"/>
                <w:szCs w:val="18"/>
              </w:rPr>
            </w:pPr>
            <w:r w:rsidRPr="003D07A2">
              <w:rPr>
                <w:rFonts w:cstheme="minorHAnsi"/>
                <w:sz w:val="18"/>
                <w:szCs w:val="18"/>
              </w:rPr>
              <w:t>202</w:t>
            </w:r>
            <w:r w:rsidR="006A5EFC">
              <w:rPr>
                <w:rFonts w:cstheme="minorHAnsi"/>
                <w:sz w:val="18"/>
                <w:szCs w:val="18"/>
              </w:rPr>
              <w:t>1</w:t>
            </w:r>
            <w:r w:rsidRPr="003D07A2">
              <w:rPr>
                <w:rFonts w:cstheme="minorHAnsi"/>
                <w:sz w:val="18"/>
                <w:szCs w:val="18"/>
              </w:rPr>
              <w:t>.g</w:t>
            </w:r>
            <w:r w:rsidR="009520DF" w:rsidRPr="003D07A2">
              <w:rPr>
                <w:rFonts w:cstheme="minorHAnsi"/>
                <w:sz w:val="18"/>
                <w:szCs w:val="18"/>
              </w:rPr>
              <w:t>ada p</w:t>
            </w:r>
            <w:r w:rsidRPr="003D07A2">
              <w:rPr>
                <w:rFonts w:cstheme="minorHAnsi"/>
                <w:sz w:val="18"/>
                <w:szCs w:val="18"/>
              </w:rPr>
              <w:t>lāns</w:t>
            </w:r>
          </w:p>
        </w:tc>
        <w:tc>
          <w:tcPr>
            <w:tcW w:w="1106" w:type="dxa"/>
            <w:vAlign w:val="center"/>
          </w:tcPr>
          <w:p w14:paraId="7516CE70" w14:textId="4E6FE494" w:rsidR="00603C3A" w:rsidRPr="003D07A2" w:rsidRDefault="00603C3A" w:rsidP="006E37EF">
            <w:pPr>
              <w:jc w:val="center"/>
              <w:rPr>
                <w:rFonts w:cstheme="minorHAnsi"/>
                <w:sz w:val="18"/>
                <w:szCs w:val="18"/>
              </w:rPr>
            </w:pPr>
            <w:r w:rsidRPr="003D07A2">
              <w:rPr>
                <w:rFonts w:cstheme="minorHAnsi"/>
                <w:sz w:val="18"/>
                <w:szCs w:val="18"/>
              </w:rPr>
              <w:t>202</w:t>
            </w:r>
            <w:r w:rsidR="006A5EFC">
              <w:rPr>
                <w:rFonts w:cstheme="minorHAnsi"/>
                <w:sz w:val="18"/>
                <w:szCs w:val="18"/>
              </w:rPr>
              <w:t>1</w:t>
            </w:r>
            <w:r w:rsidRPr="003D07A2">
              <w:rPr>
                <w:rFonts w:cstheme="minorHAnsi"/>
                <w:sz w:val="18"/>
                <w:szCs w:val="18"/>
              </w:rPr>
              <w:t>.g</w:t>
            </w:r>
            <w:r w:rsidR="009520DF" w:rsidRPr="003D07A2">
              <w:rPr>
                <w:rFonts w:cstheme="minorHAnsi"/>
                <w:sz w:val="18"/>
                <w:szCs w:val="18"/>
              </w:rPr>
              <w:t xml:space="preserve">ada </w:t>
            </w:r>
            <w:r w:rsidRPr="003D07A2">
              <w:rPr>
                <w:rFonts w:cstheme="minorHAnsi"/>
                <w:sz w:val="18"/>
                <w:szCs w:val="18"/>
              </w:rPr>
              <w:t>fakts</w:t>
            </w:r>
          </w:p>
        </w:tc>
        <w:tc>
          <w:tcPr>
            <w:tcW w:w="872" w:type="dxa"/>
          </w:tcPr>
          <w:p w14:paraId="06FA97ED" w14:textId="77777777" w:rsidR="00603C3A" w:rsidRPr="003D07A2" w:rsidRDefault="00603C3A" w:rsidP="006E37EF">
            <w:pPr>
              <w:jc w:val="center"/>
              <w:rPr>
                <w:rFonts w:cstheme="minorHAnsi"/>
                <w:sz w:val="18"/>
                <w:szCs w:val="18"/>
              </w:rPr>
            </w:pPr>
            <w:r w:rsidRPr="003D07A2">
              <w:rPr>
                <w:rFonts w:cstheme="minorHAnsi"/>
                <w:sz w:val="18"/>
                <w:szCs w:val="18"/>
              </w:rPr>
              <w:t>MK not.Nr. 555, tarifā</w:t>
            </w:r>
          </w:p>
        </w:tc>
        <w:tc>
          <w:tcPr>
            <w:tcW w:w="872" w:type="dxa"/>
            <w:vAlign w:val="center"/>
          </w:tcPr>
          <w:p w14:paraId="56A30EAD" w14:textId="14D5E9A9" w:rsidR="00603C3A" w:rsidRPr="003D07A2" w:rsidRDefault="00603C3A" w:rsidP="006E37EF">
            <w:pPr>
              <w:jc w:val="center"/>
              <w:rPr>
                <w:rFonts w:cstheme="minorHAnsi"/>
                <w:sz w:val="18"/>
                <w:szCs w:val="18"/>
              </w:rPr>
            </w:pPr>
            <w:r w:rsidRPr="003D07A2">
              <w:rPr>
                <w:rFonts w:cstheme="minorHAnsi"/>
                <w:sz w:val="18"/>
                <w:szCs w:val="18"/>
              </w:rPr>
              <w:t>Novirze pret 20</w:t>
            </w:r>
            <w:r w:rsidR="006A5EFC">
              <w:rPr>
                <w:rFonts w:cstheme="minorHAnsi"/>
                <w:sz w:val="18"/>
                <w:szCs w:val="18"/>
              </w:rPr>
              <w:t>20</w:t>
            </w:r>
            <w:r w:rsidRPr="003D07A2">
              <w:rPr>
                <w:rFonts w:cstheme="minorHAnsi"/>
                <w:sz w:val="18"/>
                <w:szCs w:val="18"/>
              </w:rPr>
              <w:t>.g.</w:t>
            </w:r>
          </w:p>
        </w:tc>
        <w:tc>
          <w:tcPr>
            <w:tcW w:w="927" w:type="dxa"/>
            <w:vAlign w:val="center"/>
          </w:tcPr>
          <w:p w14:paraId="4876E9CD" w14:textId="77777777" w:rsidR="00603C3A" w:rsidRPr="003D07A2" w:rsidRDefault="00603C3A" w:rsidP="006E37EF">
            <w:pPr>
              <w:jc w:val="center"/>
              <w:rPr>
                <w:rFonts w:cstheme="minorHAnsi"/>
                <w:sz w:val="18"/>
                <w:szCs w:val="18"/>
              </w:rPr>
            </w:pPr>
            <w:r w:rsidRPr="003D07A2">
              <w:rPr>
                <w:rFonts w:cstheme="minorHAnsi"/>
                <w:sz w:val="18"/>
                <w:szCs w:val="18"/>
              </w:rPr>
              <w:t>Novirze pret plānu</w:t>
            </w:r>
          </w:p>
        </w:tc>
      </w:tr>
      <w:tr w:rsidR="00603C3A" w:rsidRPr="003D07A2" w14:paraId="12EBCEF8" w14:textId="77777777" w:rsidTr="006E19E2">
        <w:trPr>
          <w:trHeight w:val="460"/>
        </w:trPr>
        <w:tc>
          <w:tcPr>
            <w:tcW w:w="2601" w:type="dxa"/>
          </w:tcPr>
          <w:p w14:paraId="758825ED" w14:textId="77777777" w:rsidR="00603C3A" w:rsidRPr="003D07A2" w:rsidRDefault="00603C3A" w:rsidP="006E37EF">
            <w:pPr>
              <w:rPr>
                <w:rFonts w:cstheme="minorHAnsi"/>
              </w:rPr>
            </w:pPr>
            <w:r w:rsidRPr="003D07A2">
              <w:rPr>
                <w:rFonts w:cstheme="minorHAnsi"/>
              </w:rPr>
              <w:t>Ārsti, tai skaitā funkcionālie speciālisti</w:t>
            </w:r>
          </w:p>
        </w:tc>
        <w:tc>
          <w:tcPr>
            <w:tcW w:w="1012" w:type="dxa"/>
          </w:tcPr>
          <w:p w14:paraId="0323DE87" w14:textId="0F3863A8" w:rsidR="00603C3A" w:rsidRPr="003D07A2" w:rsidRDefault="00FC55FA" w:rsidP="006E37EF">
            <w:pPr>
              <w:jc w:val="center"/>
              <w:rPr>
                <w:rFonts w:cstheme="minorHAnsi"/>
              </w:rPr>
            </w:pPr>
            <w:r>
              <w:rPr>
                <w:rFonts w:cstheme="minorHAnsi"/>
              </w:rPr>
              <w:t>2025</w:t>
            </w:r>
          </w:p>
        </w:tc>
        <w:tc>
          <w:tcPr>
            <w:tcW w:w="1105" w:type="dxa"/>
          </w:tcPr>
          <w:p w14:paraId="121C840A" w14:textId="7C0EE87F" w:rsidR="00603C3A" w:rsidRPr="003D07A2" w:rsidRDefault="00FC55FA" w:rsidP="006E37EF">
            <w:pPr>
              <w:jc w:val="center"/>
              <w:rPr>
                <w:rFonts w:cstheme="minorHAnsi"/>
              </w:rPr>
            </w:pPr>
            <w:r>
              <w:rPr>
                <w:rFonts w:cstheme="minorHAnsi"/>
              </w:rPr>
              <w:t>2636</w:t>
            </w:r>
          </w:p>
        </w:tc>
        <w:tc>
          <w:tcPr>
            <w:tcW w:w="1106" w:type="dxa"/>
          </w:tcPr>
          <w:p w14:paraId="6B022071" w14:textId="5DF499EB" w:rsidR="00603C3A" w:rsidRPr="003D07A2" w:rsidRDefault="00FC55FA" w:rsidP="006E37EF">
            <w:pPr>
              <w:jc w:val="center"/>
              <w:rPr>
                <w:rFonts w:cstheme="minorHAnsi"/>
              </w:rPr>
            </w:pPr>
            <w:r>
              <w:rPr>
                <w:rFonts w:cstheme="minorHAnsi"/>
              </w:rPr>
              <w:t>2795</w:t>
            </w:r>
          </w:p>
        </w:tc>
        <w:tc>
          <w:tcPr>
            <w:tcW w:w="872" w:type="dxa"/>
          </w:tcPr>
          <w:p w14:paraId="4BA3715B" w14:textId="79FCA97F" w:rsidR="00603C3A" w:rsidRPr="003D07A2" w:rsidRDefault="001E740D" w:rsidP="006E37EF">
            <w:pPr>
              <w:jc w:val="center"/>
              <w:rPr>
                <w:rFonts w:cstheme="minorHAnsi"/>
              </w:rPr>
            </w:pPr>
            <w:r>
              <w:rPr>
                <w:rFonts w:cstheme="minorHAnsi"/>
              </w:rPr>
              <w:t>1862</w:t>
            </w:r>
          </w:p>
        </w:tc>
        <w:tc>
          <w:tcPr>
            <w:tcW w:w="872" w:type="dxa"/>
          </w:tcPr>
          <w:p w14:paraId="584095E3" w14:textId="01C324F4" w:rsidR="00603C3A" w:rsidRPr="003D07A2" w:rsidRDefault="00FC55FA" w:rsidP="006E37EF">
            <w:pPr>
              <w:jc w:val="center"/>
              <w:rPr>
                <w:rFonts w:cstheme="minorHAnsi"/>
              </w:rPr>
            </w:pPr>
            <w:r>
              <w:rPr>
                <w:rFonts w:cstheme="minorHAnsi"/>
              </w:rPr>
              <w:t>+770</w:t>
            </w:r>
          </w:p>
        </w:tc>
        <w:tc>
          <w:tcPr>
            <w:tcW w:w="927" w:type="dxa"/>
          </w:tcPr>
          <w:p w14:paraId="40C2F989" w14:textId="35E7E86A" w:rsidR="00603C3A" w:rsidRPr="003D07A2" w:rsidRDefault="00FC55FA" w:rsidP="006E37EF">
            <w:pPr>
              <w:jc w:val="center"/>
              <w:rPr>
                <w:rFonts w:cstheme="minorHAnsi"/>
              </w:rPr>
            </w:pPr>
            <w:r>
              <w:rPr>
                <w:rFonts w:cstheme="minorHAnsi"/>
              </w:rPr>
              <w:t>+159</w:t>
            </w:r>
          </w:p>
        </w:tc>
      </w:tr>
      <w:tr w:rsidR="00603C3A" w:rsidRPr="003D07A2" w14:paraId="650F1022" w14:textId="77777777" w:rsidTr="006E19E2">
        <w:trPr>
          <w:trHeight w:val="444"/>
        </w:trPr>
        <w:tc>
          <w:tcPr>
            <w:tcW w:w="2601" w:type="dxa"/>
          </w:tcPr>
          <w:p w14:paraId="7B6FBD88" w14:textId="77777777" w:rsidR="00603C3A" w:rsidRPr="003D07A2" w:rsidRDefault="00603C3A" w:rsidP="006E37EF">
            <w:pPr>
              <w:rPr>
                <w:rFonts w:cstheme="minorHAnsi"/>
              </w:rPr>
            </w:pPr>
            <w:r w:rsidRPr="003D07A2">
              <w:rPr>
                <w:rFonts w:cstheme="minorHAnsi"/>
              </w:rPr>
              <w:t>Ārstniecības un pacientu aprūpes personāls</w:t>
            </w:r>
          </w:p>
        </w:tc>
        <w:tc>
          <w:tcPr>
            <w:tcW w:w="1012" w:type="dxa"/>
          </w:tcPr>
          <w:p w14:paraId="08C70884" w14:textId="6FCC2A98" w:rsidR="00603C3A" w:rsidRPr="003D07A2" w:rsidRDefault="00FC55FA" w:rsidP="006E37EF">
            <w:pPr>
              <w:jc w:val="center"/>
              <w:rPr>
                <w:rFonts w:cstheme="minorHAnsi"/>
              </w:rPr>
            </w:pPr>
            <w:r>
              <w:rPr>
                <w:rFonts w:cstheme="minorHAnsi"/>
              </w:rPr>
              <w:t>1323</w:t>
            </w:r>
          </w:p>
        </w:tc>
        <w:tc>
          <w:tcPr>
            <w:tcW w:w="1105" w:type="dxa"/>
          </w:tcPr>
          <w:p w14:paraId="569E580A" w14:textId="30102BC1" w:rsidR="00603C3A" w:rsidRPr="003D07A2" w:rsidRDefault="00FC55FA" w:rsidP="006E37EF">
            <w:pPr>
              <w:jc w:val="center"/>
              <w:rPr>
                <w:rFonts w:cstheme="minorHAnsi"/>
              </w:rPr>
            </w:pPr>
            <w:r>
              <w:rPr>
                <w:rFonts w:cstheme="minorHAnsi"/>
              </w:rPr>
              <w:t>1705</w:t>
            </w:r>
          </w:p>
        </w:tc>
        <w:tc>
          <w:tcPr>
            <w:tcW w:w="1106" w:type="dxa"/>
          </w:tcPr>
          <w:p w14:paraId="13A4584B" w14:textId="6F23235F" w:rsidR="00603C3A" w:rsidRPr="003D07A2" w:rsidRDefault="00FC55FA" w:rsidP="006E37EF">
            <w:pPr>
              <w:jc w:val="center"/>
              <w:rPr>
                <w:rFonts w:cstheme="minorHAnsi"/>
              </w:rPr>
            </w:pPr>
            <w:r>
              <w:rPr>
                <w:rFonts w:cstheme="minorHAnsi"/>
              </w:rPr>
              <w:t>1792</w:t>
            </w:r>
          </w:p>
        </w:tc>
        <w:tc>
          <w:tcPr>
            <w:tcW w:w="872" w:type="dxa"/>
          </w:tcPr>
          <w:p w14:paraId="22DBF4DD" w14:textId="0354A380" w:rsidR="00603C3A" w:rsidRPr="003D07A2" w:rsidRDefault="001E740D" w:rsidP="006E37EF">
            <w:pPr>
              <w:jc w:val="center"/>
              <w:rPr>
                <w:rFonts w:cstheme="minorHAnsi"/>
              </w:rPr>
            </w:pPr>
            <w:r>
              <w:rPr>
                <w:rFonts w:cstheme="minorHAnsi"/>
              </w:rPr>
              <w:t>1117</w:t>
            </w:r>
          </w:p>
        </w:tc>
        <w:tc>
          <w:tcPr>
            <w:tcW w:w="872" w:type="dxa"/>
          </w:tcPr>
          <w:p w14:paraId="6B4D7DED" w14:textId="7111DD4F" w:rsidR="00603C3A" w:rsidRPr="003D07A2" w:rsidRDefault="00FC55FA" w:rsidP="006E37EF">
            <w:pPr>
              <w:jc w:val="center"/>
              <w:rPr>
                <w:rFonts w:cstheme="minorHAnsi"/>
              </w:rPr>
            </w:pPr>
            <w:r>
              <w:rPr>
                <w:rFonts w:cstheme="minorHAnsi"/>
              </w:rPr>
              <w:t>+469</w:t>
            </w:r>
          </w:p>
        </w:tc>
        <w:tc>
          <w:tcPr>
            <w:tcW w:w="927" w:type="dxa"/>
          </w:tcPr>
          <w:p w14:paraId="16E4DD6B" w14:textId="2CC28446" w:rsidR="00603C3A" w:rsidRPr="003D07A2" w:rsidRDefault="00FC55FA" w:rsidP="006E37EF">
            <w:pPr>
              <w:jc w:val="center"/>
              <w:rPr>
                <w:rFonts w:cstheme="minorHAnsi"/>
              </w:rPr>
            </w:pPr>
            <w:r>
              <w:rPr>
                <w:rFonts w:cstheme="minorHAnsi"/>
              </w:rPr>
              <w:t>+87</w:t>
            </w:r>
          </w:p>
        </w:tc>
      </w:tr>
      <w:tr w:rsidR="00603C3A" w:rsidRPr="003D07A2" w14:paraId="037ECC7E" w14:textId="77777777" w:rsidTr="006E19E2">
        <w:trPr>
          <w:trHeight w:val="444"/>
        </w:trPr>
        <w:tc>
          <w:tcPr>
            <w:tcW w:w="2601" w:type="dxa"/>
          </w:tcPr>
          <w:p w14:paraId="0DEAE662" w14:textId="77777777" w:rsidR="00603C3A" w:rsidRPr="003D07A2" w:rsidRDefault="00603C3A" w:rsidP="006E37EF">
            <w:pPr>
              <w:rPr>
                <w:rFonts w:cstheme="minorHAnsi"/>
              </w:rPr>
            </w:pPr>
            <w:r w:rsidRPr="003D07A2">
              <w:rPr>
                <w:rFonts w:cstheme="minorHAnsi"/>
              </w:rPr>
              <w:t>Ārstniecības un pacientu aprūpes atbalsta personāls</w:t>
            </w:r>
          </w:p>
        </w:tc>
        <w:tc>
          <w:tcPr>
            <w:tcW w:w="1012" w:type="dxa"/>
          </w:tcPr>
          <w:p w14:paraId="07950503" w14:textId="21DAF202" w:rsidR="00603C3A" w:rsidRPr="003D07A2" w:rsidRDefault="00FC55FA" w:rsidP="006E37EF">
            <w:pPr>
              <w:jc w:val="center"/>
              <w:rPr>
                <w:rFonts w:cstheme="minorHAnsi"/>
              </w:rPr>
            </w:pPr>
            <w:r>
              <w:rPr>
                <w:rFonts w:cstheme="minorHAnsi"/>
              </w:rPr>
              <w:t>783</w:t>
            </w:r>
          </w:p>
        </w:tc>
        <w:tc>
          <w:tcPr>
            <w:tcW w:w="1105" w:type="dxa"/>
          </w:tcPr>
          <w:p w14:paraId="7AEDFB89" w14:textId="6B687FA5" w:rsidR="00603C3A" w:rsidRPr="003D07A2" w:rsidRDefault="00FC55FA" w:rsidP="006E37EF">
            <w:pPr>
              <w:jc w:val="center"/>
              <w:rPr>
                <w:rFonts w:cstheme="minorHAnsi"/>
              </w:rPr>
            </w:pPr>
            <w:r>
              <w:rPr>
                <w:rFonts w:cstheme="minorHAnsi"/>
              </w:rPr>
              <w:t>1083</w:t>
            </w:r>
          </w:p>
        </w:tc>
        <w:tc>
          <w:tcPr>
            <w:tcW w:w="1106" w:type="dxa"/>
          </w:tcPr>
          <w:p w14:paraId="16D7A07F" w14:textId="4C4C594F" w:rsidR="00603C3A" w:rsidRPr="003D07A2" w:rsidRDefault="00FC55FA" w:rsidP="006E37EF">
            <w:pPr>
              <w:jc w:val="center"/>
              <w:rPr>
                <w:rFonts w:cstheme="minorHAnsi"/>
              </w:rPr>
            </w:pPr>
            <w:r>
              <w:rPr>
                <w:rFonts w:cstheme="minorHAnsi"/>
              </w:rPr>
              <w:t>1154</w:t>
            </w:r>
          </w:p>
        </w:tc>
        <w:tc>
          <w:tcPr>
            <w:tcW w:w="872" w:type="dxa"/>
          </w:tcPr>
          <w:p w14:paraId="6934E700" w14:textId="4B92F9B3" w:rsidR="00603C3A" w:rsidRPr="003D07A2" w:rsidRDefault="001E740D" w:rsidP="006E37EF">
            <w:pPr>
              <w:jc w:val="center"/>
              <w:rPr>
                <w:rFonts w:cstheme="minorHAnsi"/>
              </w:rPr>
            </w:pPr>
            <w:r>
              <w:rPr>
                <w:rFonts w:cstheme="minorHAnsi"/>
              </w:rPr>
              <w:t>745</w:t>
            </w:r>
          </w:p>
        </w:tc>
        <w:tc>
          <w:tcPr>
            <w:tcW w:w="872" w:type="dxa"/>
          </w:tcPr>
          <w:p w14:paraId="2D8ED40D" w14:textId="031760A8" w:rsidR="00603C3A" w:rsidRPr="003D07A2" w:rsidRDefault="00FC55FA" w:rsidP="006E37EF">
            <w:pPr>
              <w:jc w:val="center"/>
              <w:rPr>
                <w:rFonts w:cstheme="minorHAnsi"/>
              </w:rPr>
            </w:pPr>
            <w:r>
              <w:rPr>
                <w:rFonts w:cstheme="minorHAnsi"/>
              </w:rPr>
              <w:t>+371</w:t>
            </w:r>
          </w:p>
        </w:tc>
        <w:tc>
          <w:tcPr>
            <w:tcW w:w="927" w:type="dxa"/>
          </w:tcPr>
          <w:p w14:paraId="5B69C386" w14:textId="71800CA5" w:rsidR="00603C3A" w:rsidRPr="003D07A2" w:rsidRDefault="00FC55FA" w:rsidP="006E37EF">
            <w:pPr>
              <w:jc w:val="center"/>
              <w:rPr>
                <w:rFonts w:cstheme="minorHAnsi"/>
              </w:rPr>
            </w:pPr>
            <w:r>
              <w:rPr>
                <w:rFonts w:cstheme="minorHAnsi"/>
              </w:rPr>
              <w:t>+71</w:t>
            </w:r>
          </w:p>
        </w:tc>
      </w:tr>
      <w:tr w:rsidR="00603C3A" w:rsidRPr="003D07A2" w14:paraId="3769B045" w14:textId="77777777" w:rsidTr="006E19E2">
        <w:trPr>
          <w:trHeight w:val="222"/>
        </w:trPr>
        <w:tc>
          <w:tcPr>
            <w:tcW w:w="2601" w:type="dxa"/>
          </w:tcPr>
          <w:p w14:paraId="3277A4F6" w14:textId="77777777" w:rsidR="00603C3A" w:rsidRPr="003D07A2" w:rsidRDefault="00603C3A" w:rsidP="006E37EF">
            <w:pPr>
              <w:rPr>
                <w:rFonts w:cstheme="minorHAnsi"/>
              </w:rPr>
            </w:pPr>
            <w:r w:rsidRPr="003D07A2">
              <w:rPr>
                <w:rFonts w:cstheme="minorHAnsi"/>
              </w:rPr>
              <w:t>Administrācija</w:t>
            </w:r>
          </w:p>
        </w:tc>
        <w:tc>
          <w:tcPr>
            <w:tcW w:w="1012" w:type="dxa"/>
          </w:tcPr>
          <w:p w14:paraId="33004B22" w14:textId="502A3932" w:rsidR="00603C3A" w:rsidRPr="003D07A2" w:rsidRDefault="00FC55FA" w:rsidP="006E37EF">
            <w:pPr>
              <w:jc w:val="center"/>
              <w:rPr>
                <w:rFonts w:cstheme="minorHAnsi"/>
              </w:rPr>
            </w:pPr>
            <w:r>
              <w:rPr>
                <w:rFonts w:cstheme="minorHAnsi"/>
              </w:rPr>
              <w:t>1943</w:t>
            </w:r>
          </w:p>
        </w:tc>
        <w:tc>
          <w:tcPr>
            <w:tcW w:w="1105" w:type="dxa"/>
          </w:tcPr>
          <w:p w14:paraId="2D4F220E" w14:textId="4512263F" w:rsidR="00603C3A" w:rsidRPr="003D07A2" w:rsidRDefault="00FC55FA" w:rsidP="006E37EF">
            <w:pPr>
              <w:jc w:val="center"/>
              <w:rPr>
                <w:rFonts w:cstheme="minorHAnsi"/>
              </w:rPr>
            </w:pPr>
            <w:r>
              <w:rPr>
                <w:rFonts w:cstheme="minorHAnsi"/>
              </w:rPr>
              <w:t>2288</w:t>
            </w:r>
          </w:p>
        </w:tc>
        <w:tc>
          <w:tcPr>
            <w:tcW w:w="1106" w:type="dxa"/>
          </w:tcPr>
          <w:p w14:paraId="4FDA5099" w14:textId="1C57641C" w:rsidR="00603C3A" w:rsidRPr="003D07A2" w:rsidRDefault="00FC55FA" w:rsidP="006E37EF">
            <w:pPr>
              <w:jc w:val="center"/>
              <w:rPr>
                <w:rFonts w:cstheme="minorHAnsi"/>
              </w:rPr>
            </w:pPr>
            <w:r>
              <w:rPr>
                <w:rFonts w:cstheme="minorHAnsi"/>
              </w:rPr>
              <w:t>2324</w:t>
            </w:r>
          </w:p>
        </w:tc>
        <w:tc>
          <w:tcPr>
            <w:tcW w:w="872" w:type="dxa"/>
          </w:tcPr>
          <w:p w14:paraId="0552CB70" w14:textId="77777777" w:rsidR="00603C3A" w:rsidRPr="003D07A2" w:rsidRDefault="00603C3A" w:rsidP="006E37EF">
            <w:pPr>
              <w:jc w:val="center"/>
              <w:rPr>
                <w:rFonts w:cstheme="minorHAnsi"/>
              </w:rPr>
            </w:pPr>
            <w:r w:rsidRPr="003D07A2">
              <w:rPr>
                <w:rFonts w:cstheme="minorHAnsi"/>
              </w:rPr>
              <w:t>x</w:t>
            </w:r>
          </w:p>
        </w:tc>
        <w:tc>
          <w:tcPr>
            <w:tcW w:w="872" w:type="dxa"/>
          </w:tcPr>
          <w:p w14:paraId="54533099" w14:textId="7920756B" w:rsidR="00603C3A" w:rsidRPr="003D07A2" w:rsidRDefault="00FC55FA" w:rsidP="006E37EF">
            <w:pPr>
              <w:jc w:val="center"/>
              <w:rPr>
                <w:rFonts w:cstheme="minorHAnsi"/>
              </w:rPr>
            </w:pPr>
            <w:r>
              <w:rPr>
                <w:rFonts w:cstheme="minorHAnsi"/>
              </w:rPr>
              <w:t>+381</w:t>
            </w:r>
          </w:p>
        </w:tc>
        <w:tc>
          <w:tcPr>
            <w:tcW w:w="927" w:type="dxa"/>
          </w:tcPr>
          <w:p w14:paraId="167C3E2B" w14:textId="2EC4A7CB" w:rsidR="00603C3A" w:rsidRPr="003D07A2" w:rsidRDefault="00FC55FA" w:rsidP="006E37EF">
            <w:pPr>
              <w:jc w:val="center"/>
              <w:rPr>
                <w:rFonts w:cstheme="minorHAnsi"/>
              </w:rPr>
            </w:pPr>
            <w:r>
              <w:rPr>
                <w:rFonts w:cstheme="minorHAnsi"/>
              </w:rPr>
              <w:t>+36</w:t>
            </w:r>
          </w:p>
        </w:tc>
      </w:tr>
      <w:tr w:rsidR="00603C3A" w:rsidRPr="003D07A2" w14:paraId="02AA56E8" w14:textId="77777777" w:rsidTr="006E19E2">
        <w:trPr>
          <w:trHeight w:val="222"/>
        </w:trPr>
        <w:tc>
          <w:tcPr>
            <w:tcW w:w="2601" w:type="dxa"/>
          </w:tcPr>
          <w:p w14:paraId="6C9C06D4" w14:textId="77777777" w:rsidR="00603C3A" w:rsidRPr="003D07A2" w:rsidRDefault="00603C3A" w:rsidP="006E37EF">
            <w:pPr>
              <w:rPr>
                <w:rFonts w:cstheme="minorHAnsi"/>
              </w:rPr>
            </w:pPr>
            <w:r w:rsidRPr="003D07A2">
              <w:rPr>
                <w:rFonts w:cstheme="minorHAnsi"/>
              </w:rPr>
              <w:t>Pārējie darbinieki</w:t>
            </w:r>
          </w:p>
        </w:tc>
        <w:tc>
          <w:tcPr>
            <w:tcW w:w="1012" w:type="dxa"/>
          </w:tcPr>
          <w:p w14:paraId="38BEE2F6" w14:textId="167C9BB2" w:rsidR="00603C3A" w:rsidRPr="003D07A2" w:rsidRDefault="00FC55FA" w:rsidP="006E37EF">
            <w:pPr>
              <w:jc w:val="center"/>
              <w:rPr>
                <w:rFonts w:cstheme="minorHAnsi"/>
              </w:rPr>
            </w:pPr>
            <w:r>
              <w:rPr>
                <w:rFonts w:cstheme="minorHAnsi"/>
              </w:rPr>
              <w:t>699</w:t>
            </w:r>
          </w:p>
        </w:tc>
        <w:tc>
          <w:tcPr>
            <w:tcW w:w="1105" w:type="dxa"/>
          </w:tcPr>
          <w:p w14:paraId="0E15B93C" w14:textId="0245D234" w:rsidR="00603C3A" w:rsidRPr="003D07A2" w:rsidRDefault="00FC55FA" w:rsidP="006E37EF">
            <w:pPr>
              <w:jc w:val="center"/>
              <w:rPr>
                <w:rFonts w:cstheme="minorHAnsi"/>
              </w:rPr>
            </w:pPr>
            <w:r>
              <w:rPr>
                <w:rFonts w:cstheme="minorHAnsi"/>
              </w:rPr>
              <w:t>898</w:t>
            </w:r>
          </w:p>
        </w:tc>
        <w:tc>
          <w:tcPr>
            <w:tcW w:w="1106" w:type="dxa"/>
          </w:tcPr>
          <w:p w14:paraId="726FD94F" w14:textId="1148FEC0" w:rsidR="00603C3A" w:rsidRPr="003D07A2" w:rsidRDefault="00FC55FA" w:rsidP="006E37EF">
            <w:pPr>
              <w:jc w:val="center"/>
              <w:rPr>
                <w:rFonts w:cstheme="minorHAnsi"/>
              </w:rPr>
            </w:pPr>
            <w:r>
              <w:rPr>
                <w:rFonts w:cstheme="minorHAnsi"/>
              </w:rPr>
              <w:t>880</w:t>
            </w:r>
          </w:p>
        </w:tc>
        <w:tc>
          <w:tcPr>
            <w:tcW w:w="872" w:type="dxa"/>
          </w:tcPr>
          <w:p w14:paraId="47F0937A" w14:textId="77777777" w:rsidR="00603C3A" w:rsidRPr="003D07A2" w:rsidRDefault="00603C3A" w:rsidP="006E37EF">
            <w:pPr>
              <w:jc w:val="center"/>
              <w:rPr>
                <w:rFonts w:cstheme="minorHAnsi"/>
              </w:rPr>
            </w:pPr>
            <w:r w:rsidRPr="003D07A2">
              <w:rPr>
                <w:rFonts w:cstheme="minorHAnsi"/>
              </w:rPr>
              <w:t>x</w:t>
            </w:r>
          </w:p>
        </w:tc>
        <w:tc>
          <w:tcPr>
            <w:tcW w:w="872" w:type="dxa"/>
          </w:tcPr>
          <w:p w14:paraId="735678D2" w14:textId="323CDBE6" w:rsidR="00603C3A" w:rsidRPr="003D07A2" w:rsidRDefault="00FC55FA" w:rsidP="006E37EF">
            <w:pPr>
              <w:jc w:val="center"/>
              <w:rPr>
                <w:rFonts w:cstheme="minorHAnsi"/>
              </w:rPr>
            </w:pPr>
            <w:r>
              <w:rPr>
                <w:rFonts w:cstheme="minorHAnsi"/>
              </w:rPr>
              <w:t>+181</w:t>
            </w:r>
          </w:p>
        </w:tc>
        <w:tc>
          <w:tcPr>
            <w:tcW w:w="927" w:type="dxa"/>
          </w:tcPr>
          <w:p w14:paraId="576617C2" w14:textId="6673BE9D" w:rsidR="00603C3A" w:rsidRPr="003D07A2" w:rsidRDefault="00FC55FA" w:rsidP="006E37EF">
            <w:pPr>
              <w:jc w:val="center"/>
              <w:rPr>
                <w:rFonts w:cstheme="minorHAnsi"/>
              </w:rPr>
            </w:pPr>
            <w:r>
              <w:rPr>
                <w:rFonts w:cstheme="minorHAnsi"/>
              </w:rPr>
              <w:t>-18</w:t>
            </w:r>
          </w:p>
        </w:tc>
      </w:tr>
    </w:tbl>
    <w:p w14:paraId="07D261BC" w14:textId="646892B2" w:rsidR="00BA1E07" w:rsidRPr="003D07A2" w:rsidRDefault="006E37EF" w:rsidP="00712DD6">
      <w:pPr>
        <w:spacing w:before="100" w:beforeAutospacing="1" w:after="100" w:afterAutospacing="1"/>
        <w:jc w:val="both"/>
        <w:rPr>
          <w:rFonts w:cstheme="minorHAnsi"/>
        </w:rPr>
      </w:pPr>
      <w:r w:rsidRPr="003D07A2">
        <w:rPr>
          <w:rFonts w:cstheme="minorHAnsi"/>
        </w:rPr>
        <w:t>Salīdzinot ar normatīvajos dokumentos noteikto par darba samaksas apmēru gultu dienas tarifā</w:t>
      </w:r>
      <w:r w:rsidR="00B55614" w:rsidRPr="003D07A2">
        <w:rPr>
          <w:rFonts w:cstheme="minorHAnsi"/>
        </w:rPr>
        <w:t xml:space="preserve"> (MK not.Nr.555)</w:t>
      </w:r>
      <w:r w:rsidRPr="003D07A2">
        <w:rPr>
          <w:rFonts w:cstheme="minorHAnsi"/>
        </w:rPr>
        <w:t xml:space="preserve"> – Sabiedrība nodrošinājusi izmaksu ārstu kategorijā </w:t>
      </w:r>
      <w:r w:rsidR="00670C29" w:rsidRPr="003D07A2">
        <w:rPr>
          <w:rFonts w:cstheme="minorHAnsi"/>
        </w:rPr>
        <w:t>+</w:t>
      </w:r>
      <w:r w:rsidR="001E740D">
        <w:rPr>
          <w:rFonts w:cstheme="minorHAnsi"/>
        </w:rPr>
        <w:t>933</w:t>
      </w:r>
      <w:r w:rsidR="00670C29" w:rsidRPr="003D07A2">
        <w:rPr>
          <w:rFonts w:cstheme="minorHAnsi"/>
        </w:rPr>
        <w:t xml:space="preserve"> euro</w:t>
      </w:r>
      <w:r w:rsidRPr="003D07A2">
        <w:rPr>
          <w:rFonts w:cstheme="minorHAnsi"/>
        </w:rPr>
        <w:t xml:space="preserve">; māsu </w:t>
      </w:r>
      <w:r w:rsidR="00670C29" w:rsidRPr="003D07A2">
        <w:rPr>
          <w:rFonts w:cstheme="minorHAnsi"/>
        </w:rPr>
        <w:t>+</w:t>
      </w:r>
      <w:r w:rsidR="001E740D">
        <w:rPr>
          <w:rFonts w:cstheme="minorHAnsi"/>
        </w:rPr>
        <w:t>675</w:t>
      </w:r>
      <w:r w:rsidRPr="003D07A2">
        <w:rPr>
          <w:rFonts w:cstheme="minorHAnsi"/>
        </w:rPr>
        <w:t xml:space="preserve"> </w:t>
      </w:r>
      <w:r w:rsidR="00670C29" w:rsidRPr="003D07A2">
        <w:rPr>
          <w:rFonts w:cstheme="minorHAnsi"/>
        </w:rPr>
        <w:t>euro</w:t>
      </w:r>
      <w:r w:rsidRPr="003D07A2">
        <w:rPr>
          <w:rFonts w:cstheme="minorHAnsi"/>
        </w:rPr>
        <w:t xml:space="preserve">; māsu palīgu </w:t>
      </w:r>
      <w:r w:rsidR="00670C29" w:rsidRPr="003D07A2">
        <w:rPr>
          <w:rFonts w:cstheme="minorHAnsi"/>
        </w:rPr>
        <w:t>+</w:t>
      </w:r>
      <w:r w:rsidR="001E740D">
        <w:rPr>
          <w:rFonts w:cstheme="minorHAnsi"/>
        </w:rPr>
        <w:t>409</w:t>
      </w:r>
      <w:r w:rsidR="00670C29" w:rsidRPr="003D07A2">
        <w:rPr>
          <w:rFonts w:cstheme="minorHAnsi"/>
        </w:rPr>
        <w:t xml:space="preserve"> euro vairāk.</w:t>
      </w:r>
      <w:r w:rsidR="00B55614" w:rsidRPr="003D07A2">
        <w:rPr>
          <w:rFonts w:cstheme="minorHAnsi"/>
        </w:rPr>
        <w:t xml:space="preserve"> Salīdzinot ar normatīvo dokumentu par ārstniecības personu zemāko mēnešalgu (MK not.Nr.851)</w:t>
      </w:r>
      <w:r w:rsidR="00712DD6" w:rsidRPr="003D07A2">
        <w:rPr>
          <w:rFonts w:cstheme="minorHAnsi"/>
        </w:rPr>
        <w:t xml:space="preserve"> – </w:t>
      </w:r>
      <w:r w:rsidR="00B55614" w:rsidRPr="003D07A2">
        <w:rPr>
          <w:rFonts w:cstheme="minorHAnsi"/>
        </w:rPr>
        <w:t>ārstiem +</w:t>
      </w:r>
      <w:r w:rsidR="001E740D">
        <w:rPr>
          <w:rFonts w:cstheme="minorHAnsi"/>
        </w:rPr>
        <w:t>1306</w:t>
      </w:r>
      <w:r w:rsidR="00B55614" w:rsidRPr="003D07A2">
        <w:rPr>
          <w:rFonts w:cstheme="minorHAnsi"/>
        </w:rPr>
        <w:t xml:space="preserve"> euro; māsas +</w:t>
      </w:r>
      <w:r w:rsidR="001E740D">
        <w:rPr>
          <w:rFonts w:cstheme="minorHAnsi"/>
        </w:rPr>
        <w:t>807</w:t>
      </w:r>
      <w:r w:rsidR="00B55614" w:rsidRPr="003D07A2">
        <w:rPr>
          <w:rFonts w:cstheme="minorHAnsi"/>
        </w:rPr>
        <w:t xml:space="preserve"> euro, māsu palīgi +</w:t>
      </w:r>
      <w:r w:rsidR="001E740D">
        <w:rPr>
          <w:rFonts w:cstheme="minorHAnsi"/>
        </w:rPr>
        <w:t>431</w:t>
      </w:r>
      <w:r w:rsidR="00B55614" w:rsidRPr="003D07A2">
        <w:rPr>
          <w:rFonts w:cstheme="minorHAnsi"/>
        </w:rPr>
        <w:t xml:space="preserve"> euro.</w:t>
      </w:r>
    </w:p>
    <w:p w14:paraId="2CFC295D" w14:textId="13E42C0D" w:rsidR="00670C29" w:rsidRPr="003D07A2" w:rsidRDefault="00B55614" w:rsidP="00712DD6">
      <w:pPr>
        <w:spacing w:before="100" w:beforeAutospacing="1" w:after="100" w:afterAutospacing="1"/>
        <w:jc w:val="both"/>
        <w:rPr>
          <w:rFonts w:cstheme="minorHAnsi"/>
        </w:rPr>
      </w:pPr>
      <w:r w:rsidRPr="003D07A2">
        <w:rPr>
          <w:rFonts w:cstheme="minorHAnsi"/>
        </w:rPr>
        <w:t>M</w:t>
      </w:r>
      <w:r w:rsidR="00670C29" w:rsidRPr="003D07A2">
        <w:rPr>
          <w:rFonts w:cstheme="minorHAnsi"/>
        </w:rPr>
        <w:t>āsu darba samaksa sasniedz 6</w:t>
      </w:r>
      <w:r w:rsidR="001E740D">
        <w:rPr>
          <w:rFonts w:cstheme="minorHAnsi"/>
        </w:rPr>
        <w:t>4</w:t>
      </w:r>
      <w:r w:rsidR="00670C29" w:rsidRPr="003D07A2">
        <w:rPr>
          <w:rFonts w:cstheme="minorHAnsi"/>
        </w:rPr>
        <w:t xml:space="preserve"> % no ārsta darba apmaksas un māsu palīgiem tiek nodrošināta darba samaksa </w:t>
      </w:r>
      <w:r w:rsidR="001E740D">
        <w:rPr>
          <w:rFonts w:cstheme="minorHAnsi"/>
        </w:rPr>
        <w:t>41</w:t>
      </w:r>
      <w:r w:rsidR="00670C29" w:rsidRPr="003D07A2">
        <w:rPr>
          <w:rFonts w:cstheme="minorHAnsi"/>
        </w:rPr>
        <w:t>% no ārstu darba samaksas.</w:t>
      </w:r>
    </w:p>
    <w:p w14:paraId="60CB93E0" w14:textId="77777777" w:rsidR="008D79D0" w:rsidRPr="003D07A2" w:rsidRDefault="008D79D0" w:rsidP="008D79D0">
      <w:pPr>
        <w:spacing w:after="0"/>
        <w:rPr>
          <w:rFonts w:cstheme="minorHAnsi"/>
          <w:b/>
          <w:bCs/>
        </w:rPr>
      </w:pPr>
      <w:bookmarkStart w:id="0" w:name="_Hlk70341704"/>
      <w:r w:rsidRPr="003D07A2">
        <w:rPr>
          <w:rFonts w:cstheme="minorHAnsi"/>
          <w:b/>
          <w:bCs/>
        </w:rPr>
        <w:t>Izglītība un zinātniskā darbība</w:t>
      </w:r>
    </w:p>
    <w:p w14:paraId="7CF4CFF6" w14:textId="2E876312" w:rsidR="00E24E30" w:rsidRPr="003D07A2" w:rsidRDefault="003B7B57" w:rsidP="00712DD6">
      <w:pPr>
        <w:spacing w:before="100" w:beforeAutospacing="1" w:after="100" w:afterAutospacing="1"/>
        <w:jc w:val="both"/>
        <w:rPr>
          <w:rFonts w:cstheme="minorHAnsi"/>
        </w:rPr>
      </w:pPr>
      <w:r w:rsidRPr="003D07A2">
        <w:rPr>
          <w:rFonts w:cstheme="minorHAnsi"/>
        </w:rPr>
        <w:t xml:space="preserve">Pārskata periodā Sabiedrībā rezidentūru īsteno 16 rezidenti </w:t>
      </w:r>
      <w:r w:rsidR="00086188" w:rsidRPr="003D07A2">
        <w:rPr>
          <w:rFonts w:cstheme="minorHAnsi"/>
        </w:rPr>
        <w:t>studiju programmās</w:t>
      </w:r>
      <w:r w:rsidR="00E36CCA">
        <w:rPr>
          <w:rFonts w:cstheme="minorHAnsi"/>
        </w:rPr>
        <w:t xml:space="preserve"> -</w:t>
      </w:r>
      <w:r w:rsidR="00086188" w:rsidRPr="003D07A2">
        <w:rPr>
          <w:rFonts w:cstheme="minorHAnsi"/>
        </w:rPr>
        <w:t xml:space="preserve"> “Psihiatrija”, “Tiesu psihiatrijas eksperts”, “Bērnu psihiatrija”. </w:t>
      </w:r>
      <w:r w:rsidR="00226245" w:rsidRPr="003D07A2">
        <w:rPr>
          <w:rFonts w:cstheme="minorHAnsi"/>
        </w:rPr>
        <w:t xml:space="preserve">Līgumi par rezidentu apmācību valsts budžeta finansētās rezidentūras vietās Sabiedrībai noslēgti ar Rīgas Stradiņa universitāti un Latvijas Universitāti. </w:t>
      </w:r>
    </w:p>
    <w:p w14:paraId="56DB1D88" w14:textId="3B66A542" w:rsidR="009C4FFD" w:rsidRPr="003D07A2" w:rsidRDefault="003B7B57" w:rsidP="00712DD6">
      <w:pPr>
        <w:spacing w:before="100" w:beforeAutospacing="1" w:after="100" w:afterAutospacing="1"/>
        <w:jc w:val="both"/>
        <w:rPr>
          <w:rFonts w:cstheme="minorHAnsi"/>
        </w:rPr>
      </w:pPr>
      <w:r w:rsidRPr="003D07A2">
        <w:rPr>
          <w:rFonts w:cstheme="minorHAnsi"/>
        </w:rPr>
        <w:t>Jauno ārstu profesionālo spēju attīstīšanai, Sabiedrība rezidentiem dod iespēju papildināt zināšanas un prasmes darbā ar pacientu, pacienta tuviniekiem</w:t>
      </w:r>
      <w:r w:rsidR="009C4FFD" w:rsidRPr="003D07A2">
        <w:rPr>
          <w:rFonts w:cstheme="minorHAnsi"/>
        </w:rPr>
        <w:t>, un piedalīties pacientu tuvinieku izglītošanā par slimību, tās ārstēšanu, par slimības risku un citiem kaitīgiem faktoriem</w:t>
      </w:r>
      <w:r w:rsidR="002138EC" w:rsidRPr="003D07A2">
        <w:rPr>
          <w:rFonts w:cstheme="minorHAnsi"/>
        </w:rPr>
        <w:t xml:space="preserve"> (psihoedukācija)</w:t>
      </w:r>
      <w:r w:rsidR="009C4FFD" w:rsidRPr="003D07A2">
        <w:rPr>
          <w:rFonts w:cstheme="minorHAnsi"/>
        </w:rPr>
        <w:t>.</w:t>
      </w:r>
      <w:r w:rsidRPr="003D07A2">
        <w:rPr>
          <w:rFonts w:cstheme="minorHAnsi"/>
        </w:rPr>
        <w:t xml:space="preserve"> </w:t>
      </w:r>
      <w:r w:rsidR="009C4FFD" w:rsidRPr="003D07A2">
        <w:rPr>
          <w:rFonts w:cstheme="minorHAnsi"/>
        </w:rPr>
        <w:t xml:space="preserve">Jaunie ārsti aktīvi piedalās </w:t>
      </w:r>
      <w:r w:rsidRPr="003D07A2">
        <w:rPr>
          <w:rFonts w:cstheme="minorHAnsi"/>
        </w:rPr>
        <w:t>zinātnisku</w:t>
      </w:r>
      <w:r w:rsidR="008B3225" w:rsidRPr="003D07A2">
        <w:rPr>
          <w:rFonts w:cstheme="minorHAnsi"/>
        </w:rPr>
        <w:t xml:space="preserve"> </w:t>
      </w:r>
      <w:r w:rsidRPr="003D07A2">
        <w:rPr>
          <w:rFonts w:cstheme="minorHAnsi"/>
        </w:rPr>
        <w:t>materiālu sagatavošan</w:t>
      </w:r>
      <w:r w:rsidR="009C4FFD" w:rsidRPr="003D07A2">
        <w:rPr>
          <w:rFonts w:cstheme="minorHAnsi"/>
        </w:rPr>
        <w:t xml:space="preserve">ā </w:t>
      </w:r>
      <w:r w:rsidRPr="003D07A2">
        <w:rPr>
          <w:rFonts w:cstheme="minorHAnsi"/>
        </w:rPr>
        <w:t xml:space="preserve">un </w:t>
      </w:r>
      <w:r w:rsidR="009C4FFD" w:rsidRPr="003D07A2">
        <w:rPr>
          <w:rFonts w:cstheme="minorHAnsi"/>
        </w:rPr>
        <w:t>lekciju īstenošanā</w:t>
      </w:r>
      <w:r w:rsidR="008B3225" w:rsidRPr="003D07A2">
        <w:rPr>
          <w:rFonts w:cstheme="minorHAnsi"/>
        </w:rPr>
        <w:t xml:space="preserve"> </w:t>
      </w:r>
      <w:r w:rsidR="009C4FFD" w:rsidRPr="003D07A2">
        <w:rPr>
          <w:rFonts w:cstheme="minorHAnsi"/>
        </w:rPr>
        <w:t xml:space="preserve">dažādu projektu ietvaros </w:t>
      </w:r>
      <w:r w:rsidR="00712DD6" w:rsidRPr="003D07A2">
        <w:rPr>
          <w:rFonts w:cstheme="minorHAnsi"/>
        </w:rPr>
        <w:t xml:space="preserve">– </w:t>
      </w:r>
      <w:r w:rsidR="009C4FFD" w:rsidRPr="003D07A2">
        <w:rPr>
          <w:rFonts w:cstheme="minorHAnsi"/>
        </w:rPr>
        <w:t xml:space="preserve">pašvaldību speciālistiem, Jelgavas pilsētas iedzīvotājiem un skolēniem, kā arī slimnīcas “Ģintermuižas” ārstu konferencēs. </w:t>
      </w:r>
    </w:p>
    <w:p w14:paraId="2F08CC57" w14:textId="6485E2F8" w:rsidR="009C4FFD" w:rsidRPr="003D07A2" w:rsidRDefault="009C4FFD" w:rsidP="00712DD6">
      <w:pPr>
        <w:spacing w:before="100" w:beforeAutospacing="1" w:after="100" w:afterAutospacing="1"/>
        <w:jc w:val="both"/>
        <w:rPr>
          <w:rFonts w:cstheme="minorHAnsi"/>
        </w:rPr>
      </w:pPr>
      <w:r w:rsidRPr="003D07A2">
        <w:rPr>
          <w:rFonts w:cstheme="minorHAnsi"/>
        </w:rPr>
        <w:t xml:space="preserve">Iestājoties ārkārtas situācijai </w:t>
      </w:r>
      <w:r w:rsidR="003D07A2">
        <w:rPr>
          <w:rFonts w:cstheme="minorHAnsi"/>
        </w:rPr>
        <w:t>v</w:t>
      </w:r>
      <w:r w:rsidRPr="003D07A2">
        <w:rPr>
          <w:rFonts w:cstheme="minorHAnsi"/>
        </w:rPr>
        <w:t>alstī</w:t>
      </w:r>
      <w:r w:rsidR="003D07A2">
        <w:rPr>
          <w:rFonts w:cstheme="minorHAnsi"/>
        </w:rPr>
        <w:t>,</w:t>
      </w:r>
      <w:r w:rsidRPr="003D07A2">
        <w:rPr>
          <w:rFonts w:cstheme="minorHAnsi"/>
        </w:rPr>
        <w:t xml:space="preserve"> veikta rezidentu apmācība COVID-19 analīžu noņemšanā</w:t>
      </w:r>
      <w:r w:rsidR="002138EC" w:rsidRPr="003D07A2">
        <w:rPr>
          <w:rFonts w:cstheme="minorHAnsi"/>
        </w:rPr>
        <w:t xml:space="preserve">. </w:t>
      </w:r>
      <w:r w:rsidR="00670C15" w:rsidRPr="003D07A2">
        <w:rPr>
          <w:rFonts w:cstheme="minorHAnsi"/>
        </w:rPr>
        <w:t>Pēc Infekcijas slimību nodaļas atvēršanas (pārprofilējot Hronisko pacientu nodaļas 40 gultas vietas) rezidenti aktīvi iesaistījušies COVID-19 pacientu ārstēšanā jaunizveidotajā struktūrvienībā</w:t>
      </w:r>
      <w:r w:rsidR="00E24E30" w:rsidRPr="003D07A2">
        <w:rPr>
          <w:rFonts w:cstheme="minorHAnsi"/>
        </w:rPr>
        <w:t>, kā arī iesaistījušies ārstniecības darbā nodaļās, kurās sakarā ar Covid-19 saslimstību, bija nepietiekams personāla nodrošinājums.</w:t>
      </w:r>
      <w:r w:rsidRPr="003D07A2">
        <w:rPr>
          <w:rFonts w:cstheme="minorHAnsi"/>
        </w:rPr>
        <w:t xml:space="preserve"> </w:t>
      </w:r>
    </w:p>
    <w:p w14:paraId="6D6EDE3E" w14:textId="77777777" w:rsidR="004A5C04" w:rsidRDefault="004A5C04" w:rsidP="004A5C04">
      <w:pPr>
        <w:shd w:val="clear" w:color="auto" w:fill="FFFFFF"/>
        <w:spacing w:before="100" w:beforeAutospacing="1" w:after="100" w:afterAutospacing="1" w:line="240" w:lineRule="auto"/>
        <w:jc w:val="both"/>
      </w:pPr>
      <w:r w:rsidRPr="00B645C1">
        <w:t>Darbinieku izglītošan</w:t>
      </w:r>
      <w:r>
        <w:t>a notiek trīs virzienos:</w:t>
      </w:r>
    </w:p>
    <w:p w14:paraId="5150E3FD" w14:textId="77777777" w:rsidR="004A5C04" w:rsidRDefault="004A5C04" w:rsidP="004A5C04">
      <w:pPr>
        <w:pStyle w:val="Sarakstarindkopa"/>
        <w:numPr>
          <w:ilvl w:val="0"/>
          <w:numId w:val="6"/>
        </w:numPr>
        <w:shd w:val="clear" w:color="auto" w:fill="FFFFFF"/>
        <w:spacing w:before="100" w:beforeAutospacing="1" w:after="100" w:afterAutospacing="1" w:line="240" w:lineRule="auto"/>
        <w:jc w:val="both"/>
        <w:rPr>
          <w:rFonts w:cstheme="minorHAnsi"/>
        </w:rPr>
      </w:pPr>
      <w:r>
        <w:t xml:space="preserve">Regulāra un nepārtraukta darbinieku izglītošana par IAL lietošanu, vakcināciju ( pēc individuālas darbinieku izglītošanas par vakcināciju </w:t>
      </w:r>
      <w:r w:rsidRPr="00AA1CA2">
        <w:rPr>
          <w:rFonts w:cstheme="minorHAnsi"/>
        </w:rPr>
        <w:t>pret SARS-CoV-2, aprīļa mēnesī</w:t>
      </w:r>
      <w:r>
        <w:rPr>
          <w:rFonts w:ascii="Times New Roman" w:hAnsi="Times New Roman" w:cs="Times New Roman"/>
        </w:rPr>
        <w:t xml:space="preserve"> </w:t>
      </w:r>
      <w:r w:rsidRPr="00AA1CA2">
        <w:rPr>
          <w:rFonts w:cstheme="minorHAnsi"/>
        </w:rPr>
        <w:t>pirmo vakcīnu saņēma 12 darbinieki</w:t>
      </w:r>
      <w:r>
        <w:rPr>
          <w:rFonts w:cstheme="minorHAnsi"/>
        </w:rPr>
        <w:t xml:space="preserve"> </w:t>
      </w:r>
      <w:r w:rsidRPr="00AA1CA2">
        <w:rPr>
          <w:rFonts w:cstheme="minorHAnsi"/>
        </w:rPr>
        <w:t>);</w:t>
      </w:r>
    </w:p>
    <w:p w14:paraId="2747374E" w14:textId="77777777" w:rsidR="004A5C04" w:rsidRDefault="004A5C04" w:rsidP="004A5C04">
      <w:pPr>
        <w:pStyle w:val="Sarakstarindkopa"/>
        <w:numPr>
          <w:ilvl w:val="0"/>
          <w:numId w:val="6"/>
        </w:numPr>
        <w:shd w:val="clear" w:color="auto" w:fill="FFFFFF"/>
        <w:spacing w:before="100" w:beforeAutospacing="1" w:after="100" w:afterAutospacing="1" w:line="240" w:lineRule="auto"/>
        <w:jc w:val="both"/>
        <w:rPr>
          <w:rFonts w:cstheme="minorHAnsi"/>
        </w:rPr>
      </w:pPr>
      <w:r>
        <w:rPr>
          <w:rFonts w:cstheme="minorHAnsi"/>
        </w:rPr>
        <w:t>Darbinieku izglītošana kvalifikācijas uzturēšanai un pilnveidei.  Marta mēnesī tika organizēti tālākizglītības kursi On-line vidē: “Pirmā palīdzība” māsas palīgiem un aprūpētājiem, kur apliecības ieguva 65 darbinieki ( 30 – māsas palīgi un 35 ISASRN darbinieki), no 19.03.21. -29.04.21. iespēja apgūt e- kursus “Sociālais darbs ar pilngadīgām personām ar garīga rakstura traucējumiem” bija 30 darbiniekiem;</w:t>
      </w:r>
    </w:p>
    <w:p w14:paraId="72216F5E" w14:textId="77777777" w:rsidR="004A5C04" w:rsidRDefault="004A5C04" w:rsidP="004A5C04">
      <w:pPr>
        <w:pStyle w:val="Sarakstarindkopa"/>
        <w:numPr>
          <w:ilvl w:val="0"/>
          <w:numId w:val="6"/>
        </w:numPr>
        <w:shd w:val="clear" w:color="auto" w:fill="FFFFFF"/>
        <w:spacing w:before="100" w:beforeAutospacing="1" w:after="100" w:afterAutospacing="1" w:line="240" w:lineRule="auto"/>
        <w:jc w:val="both"/>
        <w:rPr>
          <w:rFonts w:cstheme="minorHAnsi"/>
        </w:rPr>
      </w:pPr>
      <w:r>
        <w:rPr>
          <w:rFonts w:cstheme="minorHAnsi"/>
        </w:rPr>
        <w:t>2020./21. mācību gadā sadarbībā ar Latvijas Universitātes Rīgas 1. medicīnas koledžu VSIA “Slimnīcā “Ģintermuiža”” mācības Arodizglītības programmā – aprūpētājs uzsāka 26 audzēkņi ( 9 ISASRN darbinieki no VSIA “Slimnīca “Ģintermuiža”’, un 17 no VSAC “Zemgale”), šobrīd grupā mācās 16 audzēkņi – 9 ISASRN darbinieki. Iestāde nodrošina kvalifikācijas prakses vietas 9 mūsu ISASRN darbiniekiem no 15.02.21. – 23.05.21.</w:t>
      </w:r>
    </w:p>
    <w:p w14:paraId="481E5793" w14:textId="55182201" w:rsidR="00881070" w:rsidRPr="003D07A2" w:rsidRDefault="00881070" w:rsidP="00881070">
      <w:pPr>
        <w:spacing w:before="100" w:beforeAutospacing="1" w:after="100" w:afterAutospacing="1"/>
        <w:jc w:val="both"/>
        <w:rPr>
          <w:rFonts w:cstheme="minorHAnsi"/>
        </w:rPr>
      </w:pPr>
      <w:r>
        <w:rPr>
          <w:rFonts w:cstheme="minorHAnsi"/>
        </w:rPr>
        <w:t xml:space="preserve">Pārskata periodā 22 sanitāri mācās </w:t>
      </w:r>
      <w:r w:rsidRPr="003D07A2">
        <w:rPr>
          <w:rFonts w:cstheme="minorHAnsi"/>
        </w:rPr>
        <w:t xml:space="preserve">RSU Sarkanā Krusta medicīnas koledžā </w:t>
      </w:r>
      <w:r>
        <w:rPr>
          <w:rFonts w:cstheme="minorHAnsi"/>
        </w:rPr>
        <w:t xml:space="preserve">, lai iegūtu </w:t>
      </w:r>
      <w:r w:rsidRPr="003D07A2">
        <w:rPr>
          <w:rFonts w:cstheme="minorHAnsi"/>
        </w:rPr>
        <w:t xml:space="preserve">kvalifikāciju “Māsu palīgs” un </w:t>
      </w:r>
      <w:r>
        <w:rPr>
          <w:rFonts w:cstheme="minorHAnsi"/>
        </w:rPr>
        <w:t>3</w:t>
      </w:r>
      <w:r w:rsidRPr="003D07A2">
        <w:rPr>
          <w:rFonts w:cstheme="minorHAnsi"/>
        </w:rPr>
        <w:t xml:space="preserve"> māsas</w:t>
      </w:r>
      <w:r>
        <w:rPr>
          <w:rFonts w:cstheme="minorHAnsi"/>
        </w:rPr>
        <w:t xml:space="preserve"> – lai </w:t>
      </w:r>
      <w:r w:rsidRPr="003D07A2">
        <w:rPr>
          <w:rFonts w:cstheme="minorHAnsi"/>
        </w:rPr>
        <w:t>iegū</w:t>
      </w:r>
      <w:r>
        <w:rPr>
          <w:rFonts w:cstheme="minorHAnsi"/>
        </w:rPr>
        <w:t>tu</w:t>
      </w:r>
      <w:r w:rsidRPr="003D07A2">
        <w:rPr>
          <w:rFonts w:cstheme="minorHAnsi"/>
        </w:rPr>
        <w:t xml:space="preserve"> bakalaura grādu māszinībās ar specializāciju – garīgās veselības aprūpes māsa</w:t>
      </w:r>
      <w:r>
        <w:rPr>
          <w:rFonts w:cstheme="minorHAnsi"/>
        </w:rPr>
        <w:t xml:space="preserve"> (2 māsas) un ķirurģija (1 māsa)</w:t>
      </w:r>
      <w:r w:rsidRPr="003D07A2">
        <w:rPr>
          <w:rFonts w:cstheme="minorHAnsi"/>
        </w:rPr>
        <w:t xml:space="preserve">, kā arī </w:t>
      </w:r>
      <w:r>
        <w:rPr>
          <w:rFonts w:cstheme="minorHAnsi"/>
        </w:rPr>
        <w:t>3</w:t>
      </w:r>
      <w:r w:rsidRPr="003D07A2">
        <w:rPr>
          <w:rFonts w:cstheme="minorHAnsi"/>
        </w:rPr>
        <w:t xml:space="preserve"> </w:t>
      </w:r>
      <w:r>
        <w:rPr>
          <w:rFonts w:cstheme="minorHAnsi"/>
        </w:rPr>
        <w:t>sanitāri un māsu palīgi</w:t>
      </w:r>
      <w:r w:rsidRPr="003D07A2">
        <w:rPr>
          <w:rFonts w:cstheme="minorHAnsi"/>
        </w:rPr>
        <w:t xml:space="preserve"> </w:t>
      </w:r>
      <w:r>
        <w:rPr>
          <w:rFonts w:cstheme="minorHAnsi"/>
        </w:rPr>
        <w:t>apgūst</w:t>
      </w:r>
      <w:r w:rsidRPr="003D07A2">
        <w:rPr>
          <w:rFonts w:cstheme="minorHAnsi"/>
        </w:rPr>
        <w:t xml:space="preserve"> kvalifikāciju “Māsas” </w:t>
      </w:r>
      <w:r>
        <w:rPr>
          <w:rFonts w:cstheme="minorHAnsi"/>
        </w:rPr>
        <w:t>.</w:t>
      </w:r>
    </w:p>
    <w:p w14:paraId="78AE0198" w14:textId="4F127679" w:rsidR="00881070" w:rsidRDefault="00881070" w:rsidP="00712DD6">
      <w:pPr>
        <w:spacing w:before="100" w:beforeAutospacing="1" w:after="100" w:afterAutospacing="1"/>
        <w:jc w:val="both"/>
        <w:rPr>
          <w:rFonts w:cstheme="minorHAnsi"/>
        </w:rPr>
      </w:pPr>
    </w:p>
    <w:p w14:paraId="33D48B1E" w14:textId="447FDF80" w:rsidR="006159D9" w:rsidRPr="003D07A2" w:rsidRDefault="006159D9" w:rsidP="00712DD6">
      <w:pPr>
        <w:spacing w:before="100" w:beforeAutospacing="1" w:after="100" w:afterAutospacing="1"/>
        <w:jc w:val="both"/>
        <w:rPr>
          <w:rFonts w:cstheme="minorHAnsi"/>
        </w:rPr>
      </w:pPr>
      <w:r w:rsidRPr="003D07A2">
        <w:rPr>
          <w:rFonts w:cstheme="minorHAnsi"/>
        </w:rPr>
        <w:t>Kapitālsabiedrībā ESF projekta ietvaros, darbības programmas “Izaugsme un nodarbinātība” 9.2.5. specifiskā atbalsta mērķa “Uzlabot pieejamību ārstniecības un ārstniecības atbalsta personām, kas sniedz pakalpojumus prioritārajās veselības jomās iedzīvotājiem, kas dzīvo ārpus Rīgas” īstenošanā, atbalstu ir saņēmušas 29 ārstniecības personas</w:t>
      </w:r>
      <w:r w:rsidR="004B4C65">
        <w:rPr>
          <w:rFonts w:cstheme="minorHAnsi"/>
        </w:rPr>
        <w:t>.</w:t>
      </w:r>
    </w:p>
    <w:bookmarkEnd w:id="0"/>
    <w:p w14:paraId="51F582A3" w14:textId="0E90FBA0" w:rsidR="008D79D0" w:rsidRPr="003D07A2" w:rsidRDefault="008D79D0" w:rsidP="008D79D0">
      <w:pPr>
        <w:spacing w:after="0"/>
        <w:rPr>
          <w:rFonts w:cstheme="minorHAnsi"/>
          <w:b/>
          <w:bCs/>
        </w:rPr>
      </w:pPr>
      <w:r w:rsidRPr="003D07A2">
        <w:rPr>
          <w:rFonts w:cstheme="minorHAnsi"/>
          <w:b/>
          <w:bCs/>
        </w:rPr>
        <w:t>Klientu apkalpošana</w:t>
      </w:r>
    </w:p>
    <w:p w14:paraId="05828C8E" w14:textId="2F29971F" w:rsidR="004B4C65" w:rsidRDefault="004B4C65" w:rsidP="004B4C65">
      <w:pPr>
        <w:ind w:firstLine="720"/>
      </w:pPr>
      <w:r>
        <w:t xml:space="preserve">Pārskata periodā  ziņojumi par gadījumiem, kuru dēļ radies vai varēja rasties ar veselības aprūpi saistīts kaitējums pacientam/klientam, netika reģistrēti.  </w:t>
      </w:r>
    </w:p>
    <w:p w14:paraId="7C56C886" w14:textId="77777777" w:rsidR="004B4C65" w:rsidRDefault="004B4C65" w:rsidP="004B4C65">
      <w:pPr>
        <w:ind w:firstLine="720"/>
      </w:pPr>
      <w:r>
        <w:t xml:space="preserve">Saņemti 8 zvani uz anonīmo tālruni no diviem slimnīcas pacientiem, t. sk. no viena pacienta ar pateicību ārstējošam personālām. Sešas reizes zvanīja viens un tas pats pacients (pacientam bija raksturīgs akūts psihisks stāvoklis, ko viņš pats neapzināja, nekritisks un uztver sevi par veselo cilvēku. Stacionēts psihiatriskajā slimnīcā pret personas grību Ārstniecības likuma 68. panta kārtībā).   </w:t>
      </w:r>
    </w:p>
    <w:p w14:paraId="2857AB93" w14:textId="77777777" w:rsidR="004B4C65" w:rsidRDefault="004B4C65" w:rsidP="004B4C65">
      <w:pPr>
        <w:ind w:firstLine="720"/>
        <w:jc w:val="both"/>
      </w:pPr>
      <w:r w:rsidRPr="00760151">
        <w:t>Tika reģistrēts 1 kritiena gadījums (Gerontopsihiatrijas nodaļā). Kritiens saistīts ar trešo personu (nodaļas pacientu) – no mugurpuses pagrūdis paciente. Nodaļas vadītāja un virsmāsa organizēja un veica ar pacientu drošību saistošo atgadījuma apspriešanu un analīzi ar nodaļas darbiniekiem.</w:t>
      </w:r>
    </w:p>
    <w:p w14:paraId="3BA396E8" w14:textId="77777777" w:rsidR="008D79D0" w:rsidRPr="003D07A2" w:rsidRDefault="008D79D0" w:rsidP="008D79D0">
      <w:pPr>
        <w:spacing w:after="0"/>
        <w:rPr>
          <w:rFonts w:cstheme="minorHAnsi"/>
          <w:b/>
          <w:bCs/>
        </w:rPr>
      </w:pPr>
      <w:r w:rsidRPr="003D07A2">
        <w:rPr>
          <w:rFonts w:cstheme="minorHAnsi"/>
          <w:b/>
          <w:bCs/>
        </w:rPr>
        <w:t xml:space="preserve">Pasākumi </w:t>
      </w:r>
      <w:r w:rsidR="001E4B6A" w:rsidRPr="003D07A2">
        <w:rPr>
          <w:rFonts w:cstheme="minorHAnsi"/>
          <w:b/>
          <w:bCs/>
        </w:rPr>
        <w:t>S</w:t>
      </w:r>
      <w:r w:rsidRPr="003D07A2">
        <w:rPr>
          <w:rFonts w:cstheme="minorHAnsi"/>
          <w:b/>
          <w:bCs/>
        </w:rPr>
        <w:t>abiedrības darbības efektivitātes uzlabošanā</w:t>
      </w:r>
    </w:p>
    <w:p w14:paraId="0DE10DD0" w14:textId="480CBF0A" w:rsidR="00F5591A" w:rsidRDefault="00F5591A" w:rsidP="00712DD6">
      <w:pPr>
        <w:spacing w:before="100" w:beforeAutospacing="1" w:after="100" w:afterAutospacing="1"/>
        <w:jc w:val="both"/>
        <w:rPr>
          <w:rFonts w:cstheme="minorHAnsi"/>
        </w:rPr>
      </w:pPr>
      <w:r w:rsidRPr="003D07A2">
        <w:rPr>
          <w:rFonts w:cstheme="minorHAnsi"/>
        </w:rPr>
        <w:t>Sabiedrība turpina nodrošināt medikamentu aprites elektroniskās uzskaites sistēmas (Palma medical) izmantošanu.</w:t>
      </w:r>
    </w:p>
    <w:p w14:paraId="0DBB322F" w14:textId="12D14146" w:rsidR="00E36CCA" w:rsidRDefault="00E36CCA" w:rsidP="00E36CCA">
      <w:pPr>
        <w:shd w:val="clear" w:color="auto" w:fill="FFFFFF"/>
        <w:spacing w:before="100" w:beforeAutospacing="1" w:after="100" w:afterAutospacing="1" w:line="240" w:lineRule="auto"/>
        <w:jc w:val="both"/>
      </w:pPr>
      <w:r>
        <w:t>Lai efektīvi un lietderīgi izmantotu resursus, pilnveidotu, ieviestu un attīstītu procesus, kas vērsti uz  nepārtrauktu pakalpojuma kvalitātes uzlabošanu bērnu psihiatrijas nodaļā, no š.g. janvāra uzsākts ieviest LEAN metodi bērnu psihiatrijas nodaļas vides sakārtošanā un procesu uzlabošanā.  Februāra mēnesī tika uzsākta darbinieku izglītošana par LEAN būtību, mērķiem, ieguvumiem, lai motivētu darbiniekus aktīvi iesaistīties procesu īstenošanā un pilnveidošanā. Izglītošanas un LEAN metodes ieviešanas procesā tiek izmantotas prezentācijas, neformālās izglītības metodes, audio – vizuālās metodes, vizualizācija, darbinieku atraisīšana un iesaistīšana izpratnes un radošās domāšanas veicināšanai, individuālais un grupu darbs ar atgriezeniskās saites sniegšanu.</w:t>
      </w:r>
    </w:p>
    <w:p w14:paraId="6180E181" w14:textId="590F8C22" w:rsidR="00E36CCA" w:rsidRDefault="00E36CCA" w:rsidP="00E36CCA">
      <w:pPr>
        <w:shd w:val="clear" w:color="auto" w:fill="FFFFFF"/>
        <w:spacing w:before="100" w:beforeAutospacing="1" w:after="100" w:afterAutospacing="1" w:line="240" w:lineRule="auto"/>
        <w:jc w:val="both"/>
      </w:pPr>
      <w:r>
        <w:t xml:space="preserve">Šobrīd izmanto 5S metodi, kas palīdz sakārtot darba telpas tā, lai tās būtu drošas, ērtas, pārskatāmas atbrīvojoties no liekā, neizmatotā, nolietotā inventāra vai aprīkojuma. Pēc LEAN principiem ir izveidots tāds nodaļas plānojuma projekts, lai darba procesā neradītu liekas darbības, optimizētu personālu tieši tur, kur tas visvairāk ir nepieciešams, lai nodrošinātu pacientu drošību,  novērstu krišanas riskus, uzlabotu funkcionalitāti un atvieglotu vides pieejamību kā arī komfortu pakalpojuma saņēmējam. </w:t>
      </w:r>
    </w:p>
    <w:p w14:paraId="58A7AFD2" w14:textId="386E5AFD" w:rsidR="00E17F62" w:rsidRDefault="00E17F62" w:rsidP="00E17F62">
      <w:pPr>
        <w:shd w:val="clear" w:color="auto" w:fill="FFFFFF"/>
        <w:spacing w:before="100" w:beforeAutospacing="1" w:after="100" w:afterAutospacing="1" w:line="240" w:lineRule="auto"/>
        <w:jc w:val="both"/>
        <w:rPr>
          <w:rFonts w:cstheme="minorHAnsi"/>
        </w:rPr>
      </w:pPr>
      <w:r>
        <w:rPr>
          <w:rFonts w:cstheme="minorHAnsi"/>
        </w:rPr>
        <w:t>Pārskata periodā</w:t>
      </w:r>
      <w:r w:rsidRPr="00814E86">
        <w:rPr>
          <w:rFonts w:cstheme="minorHAnsi"/>
        </w:rPr>
        <w:t xml:space="preserve"> ir </w:t>
      </w:r>
      <w:r>
        <w:rPr>
          <w:rFonts w:cstheme="minorHAnsi"/>
        </w:rPr>
        <w:t xml:space="preserve">izstrādāti </w:t>
      </w:r>
      <w:r w:rsidRPr="009E7FE2">
        <w:rPr>
          <w:rFonts w:cstheme="minorHAnsi"/>
        </w:rPr>
        <w:t>darba kvalitātes, higiēniskā un pretepidēmiskā režīma prasību ievērošanas un medikamentu aprites pārbaudes</w:t>
      </w:r>
      <w:r>
        <w:rPr>
          <w:rFonts w:cstheme="minorHAnsi"/>
        </w:rPr>
        <w:t xml:space="preserve"> kritēriji stacionārām nodaļām, GVVAC un ISASRN. Tika uzsāktas kompleksas pārbaudes nodaļās pēc šiem kritērijiem. Galvenā uzmanība vērsta uz krišanas un izgulējumu riskiem, pacientu identifikāciju un fiksāciju, medicīniskās dokumentācijas aizpildīšanu, individuālo aizsardzības līdzekļu lietošanu un dezinfekciju.</w:t>
      </w:r>
    </w:p>
    <w:p w14:paraId="3410E3C8" w14:textId="77777777" w:rsidR="00E17F62" w:rsidRDefault="00E17F62" w:rsidP="00E17F62">
      <w:pPr>
        <w:spacing w:line="240" w:lineRule="auto"/>
        <w:jc w:val="both"/>
        <w:rPr>
          <w:rFonts w:cstheme="minorHAnsi"/>
          <w:bCs/>
          <w:color w:val="000000" w:themeColor="text1"/>
        </w:rPr>
      </w:pPr>
      <w:r>
        <w:rPr>
          <w:rFonts w:cstheme="minorHAnsi"/>
        </w:rPr>
        <w:t>Darba procesā tiek aktualizēta uz pilnveidota “</w:t>
      </w:r>
      <w:r w:rsidRPr="000929B3">
        <w:rPr>
          <w:rFonts w:cstheme="minorHAnsi"/>
          <w:bCs/>
          <w:color w:val="000000" w:themeColor="text1"/>
        </w:rPr>
        <w:t>Kārtība, kādā tiek veikta izgulējumu profilakse, izvērtēšana un aprūpe mazkustīgiem vai gulošiem pacientiem/ klientiem VSIA “Slimnīca ”Ģintermuiža””</w:t>
      </w:r>
      <w:r>
        <w:rPr>
          <w:rFonts w:cstheme="minorHAnsi"/>
          <w:bCs/>
          <w:color w:val="000000" w:themeColor="text1"/>
        </w:rPr>
        <w:t>. Izstrādāts un aprobācijā nodaļās nodots “Mazkustīgu un/vai gulošu pacientu izgulējumu profilakses protokols”.</w:t>
      </w:r>
    </w:p>
    <w:p w14:paraId="0DDB9BA3" w14:textId="77777777" w:rsidR="00F5591A" w:rsidRPr="003D07A2" w:rsidRDefault="00F5591A" w:rsidP="00712DD6">
      <w:pPr>
        <w:spacing w:before="100" w:beforeAutospacing="1" w:after="100" w:afterAutospacing="1"/>
        <w:jc w:val="both"/>
        <w:rPr>
          <w:rFonts w:cstheme="minorHAnsi"/>
        </w:rPr>
      </w:pPr>
      <w:r w:rsidRPr="003D07A2">
        <w:rPr>
          <w:rFonts w:cstheme="minorHAnsi"/>
        </w:rPr>
        <w:t>Vadības līmenī tiek pielietots datu analīzes rīks BI.</w:t>
      </w:r>
    </w:p>
    <w:p w14:paraId="44E50BFD" w14:textId="337DFF47" w:rsidR="00764CA2" w:rsidRPr="003D07A2" w:rsidRDefault="00E56624" w:rsidP="00E17F62">
      <w:pPr>
        <w:pStyle w:val="Sarakstarindkopa"/>
        <w:spacing w:after="0"/>
        <w:ind w:left="0"/>
        <w:rPr>
          <w:rFonts w:cstheme="minorHAnsi"/>
        </w:rPr>
      </w:pPr>
      <w:r w:rsidRPr="003D07A2">
        <w:rPr>
          <w:rFonts w:cstheme="minorHAnsi"/>
        </w:rPr>
        <w:t>Sabiedrība veic regulāru kvalitātes un darbības efektivitātes rādītāju monitorēšanu, analīzi un dizainēšanu atbildīgo speciālistu līmeņos.</w:t>
      </w:r>
    </w:p>
    <w:p w14:paraId="4FFC3200" w14:textId="77777777" w:rsidR="003D07A2" w:rsidRDefault="003D07A2" w:rsidP="008D79D0">
      <w:pPr>
        <w:spacing w:after="0"/>
        <w:rPr>
          <w:rFonts w:cstheme="minorHAnsi"/>
          <w:b/>
          <w:bCs/>
        </w:rPr>
      </w:pPr>
    </w:p>
    <w:p w14:paraId="68B5519F" w14:textId="7F613A08" w:rsidR="008D79D0" w:rsidRPr="003D07A2" w:rsidRDefault="008D79D0" w:rsidP="008D79D0">
      <w:pPr>
        <w:spacing w:after="0"/>
        <w:rPr>
          <w:rFonts w:cstheme="minorHAnsi"/>
          <w:b/>
          <w:bCs/>
        </w:rPr>
      </w:pPr>
      <w:r w:rsidRPr="003D07A2">
        <w:rPr>
          <w:rFonts w:cstheme="minorHAnsi"/>
          <w:b/>
          <w:bCs/>
        </w:rPr>
        <w:t>Ieteikumi Sabiedrības turpmākās darbības uzlabošanai un risku mazināšanai</w:t>
      </w:r>
    </w:p>
    <w:p w14:paraId="6F8A06DC" w14:textId="77777777" w:rsidR="00F5591A" w:rsidRPr="003D07A2" w:rsidRDefault="00F5591A" w:rsidP="00086EA7">
      <w:pPr>
        <w:spacing w:before="100" w:beforeAutospacing="1" w:after="100" w:afterAutospacing="1"/>
        <w:jc w:val="both"/>
        <w:rPr>
          <w:rFonts w:cstheme="minorHAnsi"/>
        </w:rPr>
      </w:pPr>
      <w:r w:rsidRPr="003D07A2">
        <w:rPr>
          <w:rFonts w:cstheme="minorHAnsi"/>
        </w:rPr>
        <w:t>Sabiedrība turpina mērķtiecīgi veikt galveno procesu analīzi, lai savlaicīgi identificētu riskus, to līmeni un iespējamo ietekmi.</w:t>
      </w:r>
    </w:p>
    <w:p w14:paraId="1D361292" w14:textId="568C1A07" w:rsidR="008D79D0" w:rsidRPr="003D07A2" w:rsidRDefault="00F5591A" w:rsidP="00086EA7">
      <w:pPr>
        <w:spacing w:before="100" w:beforeAutospacing="1" w:after="100" w:afterAutospacing="1"/>
        <w:jc w:val="both"/>
        <w:rPr>
          <w:rFonts w:cstheme="minorHAnsi"/>
        </w:rPr>
      </w:pPr>
      <w:r w:rsidRPr="003D07A2">
        <w:rPr>
          <w:rFonts w:cstheme="minorHAnsi"/>
        </w:rPr>
        <w:t>Notiek nepārtraukta Sabiedrībā nodarbināto noslodzes efektivitātes pārraudzīšana, lai samazinātu virsstundu rašanos riskus</w:t>
      </w:r>
      <w:r w:rsidR="0079478C" w:rsidRPr="003D07A2">
        <w:rPr>
          <w:rFonts w:cstheme="minorHAnsi"/>
        </w:rPr>
        <w:t>, kā arī kontrolētu cilvēkresursu efektīvu izmantošanu.</w:t>
      </w:r>
    </w:p>
    <w:p w14:paraId="3E732D33" w14:textId="77777777" w:rsidR="00F5591A" w:rsidRPr="003D07A2" w:rsidRDefault="00F5591A" w:rsidP="00086EA7">
      <w:pPr>
        <w:spacing w:before="100" w:beforeAutospacing="1" w:after="100" w:afterAutospacing="1"/>
        <w:jc w:val="both"/>
        <w:rPr>
          <w:rFonts w:cstheme="minorHAnsi"/>
        </w:rPr>
      </w:pPr>
      <w:r w:rsidRPr="003D07A2">
        <w:rPr>
          <w:rFonts w:cstheme="minorHAnsi"/>
        </w:rPr>
        <w:t>Tiek monitorēti pakalpojumu sniegšanas efektivitātes rādītāji un veikta pakalpojuma uzskaites dokumentu analīze un kvalitātes kontrole.</w:t>
      </w:r>
    </w:p>
    <w:sectPr w:rsidR="00F5591A" w:rsidRPr="003D07A2" w:rsidSect="00C06C05">
      <w:footerReference w:type="default" r:id="rId8"/>
      <w:pgSz w:w="11906" w:h="16838" w:code="9"/>
      <w:pgMar w:top="1304" w:right="1700"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2C84A" w14:textId="77777777" w:rsidR="00602E12" w:rsidRDefault="00602E12" w:rsidP="00AE3541">
      <w:pPr>
        <w:spacing w:after="0" w:line="240" w:lineRule="auto"/>
      </w:pPr>
      <w:r>
        <w:separator/>
      </w:r>
    </w:p>
  </w:endnote>
  <w:endnote w:type="continuationSeparator" w:id="0">
    <w:p w14:paraId="39081E5C" w14:textId="77777777" w:rsidR="00602E12" w:rsidRDefault="00602E12" w:rsidP="00AE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71864"/>
      <w:docPartObj>
        <w:docPartGallery w:val="Page Numbers (Bottom of Page)"/>
        <w:docPartUnique/>
      </w:docPartObj>
    </w:sdtPr>
    <w:sdtEndPr/>
    <w:sdtContent>
      <w:p w14:paraId="17FFC8B8" w14:textId="77777777" w:rsidR="008328C0" w:rsidRDefault="008328C0">
        <w:pPr>
          <w:pStyle w:val="Kjene"/>
          <w:jc w:val="center"/>
        </w:pPr>
        <w:r>
          <w:fldChar w:fldCharType="begin"/>
        </w:r>
        <w:r>
          <w:instrText>PAGE   \* MERGEFORMAT</w:instrText>
        </w:r>
        <w:r>
          <w:fldChar w:fldCharType="separate"/>
        </w:r>
        <w:r>
          <w:rPr>
            <w:noProof/>
          </w:rPr>
          <w:t>2</w:t>
        </w:r>
        <w:r>
          <w:fldChar w:fldCharType="end"/>
        </w:r>
      </w:p>
    </w:sdtContent>
  </w:sdt>
  <w:p w14:paraId="4AC3EEEB" w14:textId="77777777" w:rsidR="008328C0" w:rsidRDefault="008328C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DB072" w14:textId="77777777" w:rsidR="00602E12" w:rsidRDefault="00602E12" w:rsidP="00AE3541">
      <w:pPr>
        <w:spacing w:after="0" w:line="240" w:lineRule="auto"/>
      </w:pPr>
      <w:r>
        <w:separator/>
      </w:r>
    </w:p>
  </w:footnote>
  <w:footnote w:type="continuationSeparator" w:id="0">
    <w:p w14:paraId="06E8DFF1" w14:textId="77777777" w:rsidR="00602E12" w:rsidRDefault="00602E12" w:rsidP="00AE3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96A2B"/>
    <w:multiLevelType w:val="hybridMultilevel"/>
    <w:tmpl w:val="BF2217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E42B61"/>
    <w:multiLevelType w:val="hybridMultilevel"/>
    <w:tmpl w:val="E45A1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4E308D2"/>
    <w:multiLevelType w:val="hybridMultilevel"/>
    <w:tmpl w:val="B596B9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501732A"/>
    <w:multiLevelType w:val="hybridMultilevel"/>
    <w:tmpl w:val="D0168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EF30224"/>
    <w:multiLevelType w:val="hybridMultilevel"/>
    <w:tmpl w:val="A3B612A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AF52003"/>
    <w:multiLevelType w:val="hybridMultilevel"/>
    <w:tmpl w:val="C95A3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9D0"/>
    <w:rsid w:val="0000188E"/>
    <w:rsid w:val="00005BDD"/>
    <w:rsid w:val="00016C25"/>
    <w:rsid w:val="00021117"/>
    <w:rsid w:val="00027DF4"/>
    <w:rsid w:val="00040C1E"/>
    <w:rsid w:val="00062455"/>
    <w:rsid w:val="00073F64"/>
    <w:rsid w:val="00080CEB"/>
    <w:rsid w:val="00086188"/>
    <w:rsid w:val="00086EA7"/>
    <w:rsid w:val="00091868"/>
    <w:rsid w:val="00095CF4"/>
    <w:rsid w:val="000A70AD"/>
    <w:rsid w:val="000C4877"/>
    <w:rsid w:val="000C4CC7"/>
    <w:rsid w:val="000C54E5"/>
    <w:rsid w:val="000C56ED"/>
    <w:rsid w:val="000C65B8"/>
    <w:rsid w:val="0010757F"/>
    <w:rsid w:val="00125F27"/>
    <w:rsid w:val="00135C75"/>
    <w:rsid w:val="00137EBF"/>
    <w:rsid w:val="00141D57"/>
    <w:rsid w:val="001579A3"/>
    <w:rsid w:val="001629FA"/>
    <w:rsid w:val="00170195"/>
    <w:rsid w:val="001739AA"/>
    <w:rsid w:val="00175436"/>
    <w:rsid w:val="0018783C"/>
    <w:rsid w:val="001A2651"/>
    <w:rsid w:val="001A65E1"/>
    <w:rsid w:val="001B1154"/>
    <w:rsid w:val="001C5AF4"/>
    <w:rsid w:val="001D2AFE"/>
    <w:rsid w:val="001E4B6A"/>
    <w:rsid w:val="001E5DA4"/>
    <w:rsid w:val="001E740D"/>
    <w:rsid w:val="001F17FA"/>
    <w:rsid w:val="001F4B5F"/>
    <w:rsid w:val="00210E88"/>
    <w:rsid w:val="002138EC"/>
    <w:rsid w:val="00215612"/>
    <w:rsid w:val="00216373"/>
    <w:rsid w:val="002239F0"/>
    <w:rsid w:val="00226245"/>
    <w:rsid w:val="00260E2C"/>
    <w:rsid w:val="00262ACA"/>
    <w:rsid w:val="00271864"/>
    <w:rsid w:val="00271992"/>
    <w:rsid w:val="00272744"/>
    <w:rsid w:val="00282B20"/>
    <w:rsid w:val="002923E6"/>
    <w:rsid w:val="002978D0"/>
    <w:rsid w:val="002A6BBB"/>
    <w:rsid w:val="002B56EE"/>
    <w:rsid w:val="002B7C69"/>
    <w:rsid w:val="002C17FC"/>
    <w:rsid w:val="002D5F2E"/>
    <w:rsid w:val="002D7163"/>
    <w:rsid w:val="002E325E"/>
    <w:rsid w:val="002E41B5"/>
    <w:rsid w:val="002F6718"/>
    <w:rsid w:val="003155EB"/>
    <w:rsid w:val="00316600"/>
    <w:rsid w:val="00316C27"/>
    <w:rsid w:val="003328C9"/>
    <w:rsid w:val="00334DEF"/>
    <w:rsid w:val="00342F7E"/>
    <w:rsid w:val="003513D9"/>
    <w:rsid w:val="0035297D"/>
    <w:rsid w:val="00354A67"/>
    <w:rsid w:val="0037201A"/>
    <w:rsid w:val="003747C0"/>
    <w:rsid w:val="003B7B57"/>
    <w:rsid w:val="003C5B10"/>
    <w:rsid w:val="003D07A2"/>
    <w:rsid w:val="003D5327"/>
    <w:rsid w:val="003F4B57"/>
    <w:rsid w:val="003F5B24"/>
    <w:rsid w:val="004017D5"/>
    <w:rsid w:val="00402B61"/>
    <w:rsid w:val="00414774"/>
    <w:rsid w:val="00415B98"/>
    <w:rsid w:val="004236A1"/>
    <w:rsid w:val="0042644D"/>
    <w:rsid w:val="00433243"/>
    <w:rsid w:val="00435414"/>
    <w:rsid w:val="00441AC0"/>
    <w:rsid w:val="004432A2"/>
    <w:rsid w:val="00450855"/>
    <w:rsid w:val="00465289"/>
    <w:rsid w:val="0046609C"/>
    <w:rsid w:val="004923F9"/>
    <w:rsid w:val="004A49EF"/>
    <w:rsid w:val="004A4E51"/>
    <w:rsid w:val="004A570C"/>
    <w:rsid w:val="004A5C04"/>
    <w:rsid w:val="004B4C65"/>
    <w:rsid w:val="004C5154"/>
    <w:rsid w:val="004C5AC1"/>
    <w:rsid w:val="004D322D"/>
    <w:rsid w:val="004D3744"/>
    <w:rsid w:val="004D4E73"/>
    <w:rsid w:val="004D60C1"/>
    <w:rsid w:val="004F5DCF"/>
    <w:rsid w:val="00511CDB"/>
    <w:rsid w:val="00520ECD"/>
    <w:rsid w:val="00520EE7"/>
    <w:rsid w:val="005362F9"/>
    <w:rsid w:val="00541129"/>
    <w:rsid w:val="00545AE6"/>
    <w:rsid w:val="00552117"/>
    <w:rsid w:val="00563197"/>
    <w:rsid w:val="00564D0C"/>
    <w:rsid w:val="005663B4"/>
    <w:rsid w:val="0057081B"/>
    <w:rsid w:val="00587186"/>
    <w:rsid w:val="005A3CF1"/>
    <w:rsid w:val="005D4047"/>
    <w:rsid w:val="005E0954"/>
    <w:rsid w:val="005E78D0"/>
    <w:rsid w:val="005F0851"/>
    <w:rsid w:val="005F2442"/>
    <w:rsid w:val="005F5952"/>
    <w:rsid w:val="006011CC"/>
    <w:rsid w:val="00602E12"/>
    <w:rsid w:val="00603C3A"/>
    <w:rsid w:val="00606377"/>
    <w:rsid w:val="006159D9"/>
    <w:rsid w:val="0062116C"/>
    <w:rsid w:val="00641ABD"/>
    <w:rsid w:val="0064485E"/>
    <w:rsid w:val="00670C15"/>
    <w:rsid w:val="00670C29"/>
    <w:rsid w:val="006A5EFC"/>
    <w:rsid w:val="006B2C14"/>
    <w:rsid w:val="006B30FA"/>
    <w:rsid w:val="006B69E7"/>
    <w:rsid w:val="006B7F89"/>
    <w:rsid w:val="006D677B"/>
    <w:rsid w:val="006E19E2"/>
    <w:rsid w:val="006E37EF"/>
    <w:rsid w:val="006E705D"/>
    <w:rsid w:val="006E7B7A"/>
    <w:rsid w:val="006F5F3B"/>
    <w:rsid w:val="00712DD6"/>
    <w:rsid w:val="0073779C"/>
    <w:rsid w:val="00753BAA"/>
    <w:rsid w:val="00764CA2"/>
    <w:rsid w:val="0076598A"/>
    <w:rsid w:val="00772971"/>
    <w:rsid w:val="00776C75"/>
    <w:rsid w:val="00781C1D"/>
    <w:rsid w:val="0079478C"/>
    <w:rsid w:val="007A3DC7"/>
    <w:rsid w:val="007A4901"/>
    <w:rsid w:val="007B12D7"/>
    <w:rsid w:val="007B2D77"/>
    <w:rsid w:val="007B5DB1"/>
    <w:rsid w:val="007C2B8B"/>
    <w:rsid w:val="007E2DD5"/>
    <w:rsid w:val="007E4096"/>
    <w:rsid w:val="00804642"/>
    <w:rsid w:val="008112E1"/>
    <w:rsid w:val="00811C33"/>
    <w:rsid w:val="008212F0"/>
    <w:rsid w:val="008328C0"/>
    <w:rsid w:val="00835246"/>
    <w:rsid w:val="00841CE5"/>
    <w:rsid w:val="00841E84"/>
    <w:rsid w:val="00847A61"/>
    <w:rsid w:val="0085559D"/>
    <w:rsid w:val="008558D6"/>
    <w:rsid w:val="00867F38"/>
    <w:rsid w:val="00881070"/>
    <w:rsid w:val="008A1BED"/>
    <w:rsid w:val="008B3225"/>
    <w:rsid w:val="008D0E73"/>
    <w:rsid w:val="008D2797"/>
    <w:rsid w:val="008D79D0"/>
    <w:rsid w:val="008F3FB2"/>
    <w:rsid w:val="009209F4"/>
    <w:rsid w:val="009211F2"/>
    <w:rsid w:val="009359A9"/>
    <w:rsid w:val="00937CAF"/>
    <w:rsid w:val="009430DE"/>
    <w:rsid w:val="009520DF"/>
    <w:rsid w:val="00967681"/>
    <w:rsid w:val="0097464D"/>
    <w:rsid w:val="00974DFE"/>
    <w:rsid w:val="009750D4"/>
    <w:rsid w:val="00982A16"/>
    <w:rsid w:val="009859EA"/>
    <w:rsid w:val="0099762F"/>
    <w:rsid w:val="009A51C2"/>
    <w:rsid w:val="009A51DF"/>
    <w:rsid w:val="009A6244"/>
    <w:rsid w:val="009B4ECD"/>
    <w:rsid w:val="009B6E58"/>
    <w:rsid w:val="009B7FAF"/>
    <w:rsid w:val="009C2945"/>
    <w:rsid w:val="009C4FFD"/>
    <w:rsid w:val="009E7E77"/>
    <w:rsid w:val="00A017AA"/>
    <w:rsid w:val="00A1190D"/>
    <w:rsid w:val="00A15A56"/>
    <w:rsid w:val="00A2684F"/>
    <w:rsid w:val="00A26CAA"/>
    <w:rsid w:val="00A34111"/>
    <w:rsid w:val="00A4388B"/>
    <w:rsid w:val="00A45936"/>
    <w:rsid w:val="00A72671"/>
    <w:rsid w:val="00A979EC"/>
    <w:rsid w:val="00AA3606"/>
    <w:rsid w:val="00AB329C"/>
    <w:rsid w:val="00AB5B66"/>
    <w:rsid w:val="00AB64DC"/>
    <w:rsid w:val="00AD2898"/>
    <w:rsid w:val="00AD2C34"/>
    <w:rsid w:val="00AE3541"/>
    <w:rsid w:val="00AF0274"/>
    <w:rsid w:val="00B05E77"/>
    <w:rsid w:val="00B10F7D"/>
    <w:rsid w:val="00B23D81"/>
    <w:rsid w:val="00B30A53"/>
    <w:rsid w:val="00B3257E"/>
    <w:rsid w:val="00B43CC5"/>
    <w:rsid w:val="00B44AF5"/>
    <w:rsid w:val="00B55614"/>
    <w:rsid w:val="00B55769"/>
    <w:rsid w:val="00B60126"/>
    <w:rsid w:val="00B607CC"/>
    <w:rsid w:val="00B63C01"/>
    <w:rsid w:val="00B74136"/>
    <w:rsid w:val="00B84A7E"/>
    <w:rsid w:val="00B85780"/>
    <w:rsid w:val="00BA1E07"/>
    <w:rsid w:val="00BA356A"/>
    <w:rsid w:val="00BA3C6D"/>
    <w:rsid w:val="00BA53BE"/>
    <w:rsid w:val="00C060D0"/>
    <w:rsid w:val="00C06C05"/>
    <w:rsid w:val="00C35EA7"/>
    <w:rsid w:val="00C46A99"/>
    <w:rsid w:val="00CC2A17"/>
    <w:rsid w:val="00CF133E"/>
    <w:rsid w:val="00CF14FB"/>
    <w:rsid w:val="00D203ED"/>
    <w:rsid w:val="00D21AA3"/>
    <w:rsid w:val="00D3117C"/>
    <w:rsid w:val="00D43C06"/>
    <w:rsid w:val="00D44D91"/>
    <w:rsid w:val="00D71C86"/>
    <w:rsid w:val="00D80CE1"/>
    <w:rsid w:val="00D869C9"/>
    <w:rsid w:val="00D944FA"/>
    <w:rsid w:val="00DC3E58"/>
    <w:rsid w:val="00DF2D03"/>
    <w:rsid w:val="00E01FDB"/>
    <w:rsid w:val="00E17F62"/>
    <w:rsid w:val="00E24E30"/>
    <w:rsid w:val="00E36B16"/>
    <w:rsid w:val="00E36CCA"/>
    <w:rsid w:val="00E41C46"/>
    <w:rsid w:val="00E42217"/>
    <w:rsid w:val="00E56624"/>
    <w:rsid w:val="00E7125D"/>
    <w:rsid w:val="00E80533"/>
    <w:rsid w:val="00E8377F"/>
    <w:rsid w:val="00E84D52"/>
    <w:rsid w:val="00EA21A4"/>
    <w:rsid w:val="00EB3D04"/>
    <w:rsid w:val="00EB78EB"/>
    <w:rsid w:val="00EC3DB4"/>
    <w:rsid w:val="00ED1BCC"/>
    <w:rsid w:val="00EF4563"/>
    <w:rsid w:val="00F024E7"/>
    <w:rsid w:val="00F06CE0"/>
    <w:rsid w:val="00F072BE"/>
    <w:rsid w:val="00F32EF1"/>
    <w:rsid w:val="00F33231"/>
    <w:rsid w:val="00F45722"/>
    <w:rsid w:val="00F5591A"/>
    <w:rsid w:val="00F6234A"/>
    <w:rsid w:val="00F62CC4"/>
    <w:rsid w:val="00F7045F"/>
    <w:rsid w:val="00F83008"/>
    <w:rsid w:val="00F84287"/>
    <w:rsid w:val="00F97D96"/>
    <w:rsid w:val="00FA2AE6"/>
    <w:rsid w:val="00FA2B4E"/>
    <w:rsid w:val="00FB283F"/>
    <w:rsid w:val="00FB73EE"/>
    <w:rsid w:val="00FC55FA"/>
    <w:rsid w:val="00FC6BFF"/>
    <w:rsid w:val="00FC73ED"/>
    <w:rsid w:val="00FD101A"/>
    <w:rsid w:val="00FF5D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9898"/>
  <w15:chartTrackingRefBased/>
  <w15:docId w15:val="{DB0E05BC-099C-45CC-A021-24A41FBF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79D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06CE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6CE0"/>
    <w:rPr>
      <w:rFonts w:ascii="Segoe UI" w:hAnsi="Segoe UI" w:cs="Segoe UI"/>
      <w:sz w:val="18"/>
      <w:szCs w:val="18"/>
    </w:rPr>
  </w:style>
  <w:style w:type="paragraph" w:styleId="Bezatstarpm">
    <w:name w:val="No Spacing"/>
    <w:uiPriority w:val="1"/>
    <w:qFormat/>
    <w:rsid w:val="0035297D"/>
    <w:pPr>
      <w:spacing w:after="0" w:line="240" w:lineRule="auto"/>
    </w:pPr>
    <w:rPr>
      <w:rFonts w:ascii="Calibri" w:eastAsia="Calibri" w:hAnsi="Calibri" w:cs="Times New Roman"/>
    </w:rPr>
  </w:style>
  <w:style w:type="paragraph" w:customStyle="1" w:styleId="apakvsirsraksts2">
    <w:name w:val="apakvsirsraksts 2"/>
    <w:basedOn w:val="Parasts"/>
    <w:link w:val="apakvsirsraksts2Rakstz"/>
    <w:qFormat/>
    <w:rsid w:val="009C2945"/>
    <w:rPr>
      <w:b/>
      <w:u w:val="single"/>
    </w:rPr>
  </w:style>
  <w:style w:type="character" w:customStyle="1" w:styleId="apakvsirsraksts2Rakstz">
    <w:name w:val="apakvsirsraksts 2 Rakstz."/>
    <w:basedOn w:val="Noklusjumarindkopasfonts"/>
    <w:link w:val="apakvsirsraksts2"/>
    <w:rsid w:val="009C2945"/>
    <w:rPr>
      <w:b/>
      <w:u w:val="single"/>
    </w:rPr>
  </w:style>
  <w:style w:type="paragraph" w:styleId="Sarakstarindkopa">
    <w:name w:val="List Paragraph"/>
    <w:basedOn w:val="Parasts"/>
    <w:uiPriority w:val="34"/>
    <w:qFormat/>
    <w:rsid w:val="009C2945"/>
    <w:pPr>
      <w:ind w:left="720"/>
      <w:contextualSpacing/>
    </w:pPr>
  </w:style>
  <w:style w:type="table" w:styleId="Reatabula">
    <w:name w:val="Table Grid"/>
    <w:basedOn w:val="Parastatabula"/>
    <w:uiPriority w:val="59"/>
    <w:rsid w:val="003F5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AE354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E3541"/>
  </w:style>
  <w:style w:type="paragraph" w:styleId="Kjene">
    <w:name w:val="footer"/>
    <w:basedOn w:val="Parasts"/>
    <w:link w:val="KjeneRakstz"/>
    <w:uiPriority w:val="99"/>
    <w:unhideWhenUsed/>
    <w:rsid w:val="00AE354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E3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99315">
      <w:bodyDiv w:val="1"/>
      <w:marLeft w:val="0"/>
      <w:marRight w:val="0"/>
      <w:marTop w:val="0"/>
      <w:marBottom w:val="0"/>
      <w:divBdr>
        <w:top w:val="none" w:sz="0" w:space="0" w:color="auto"/>
        <w:left w:val="none" w:sz="0" w:space="0" w:color="auto"/>
        <w:bottom w:val="none" w:sz="0" w:space="0" w:color="auto"/>
        <w:right w:val="none" w:sz="0" w:space="0" w:color="auto"/>
      </w:divBdr>
    </w:div>
    <w:div w:id="1537500391">
      <w:bodyDiv w:val="1"/>
      <w:marLeft w:val="0"/>
      <w:marRight w:val="0"/>
      <w:marTop w:val="0"/>
      <w:marBottom w:val="0"/>
      <w:divBdr>
        <w:top w:val="none" w:sz="0" w:space="0" w:color="auto"/>
        <w:left w:val="none" w:sz="0" w:space="0" w:color="auto"/>
        <w:bottom w:val="none" w:sz="0" w:space="0" w:color="auto"/>
        <w:right w:val="none" w:sz="0" w:space="0" w:color="auto"/>
      </w:divBdr>
    </w:div>
    <w:div w:id="18935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70CFA-5BA3-4CBF-98D4-2DC3570A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16400</Words>
  <Characters>9349</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Liesma Jankovska</dc:creator>
  <cp:keywords/>
  <dc:description/>
  <cp:lastModifiedBy>Liesma Jankovska</cp:lastModifiedBy>
  <cp:revision>45</cp:revision>
  <dcterms:created xsi:type="dcterms:W3CDTF">2021-04-23T10:14:00Z</dcterms:created>
  <dcterms:modified xsi:type="dcterms:W3CDTF">2021-04-30T05:00:00Z</dcterms:modified>
</cp:coreProperties>
</file>