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9466" w14:textId="77777777" w:rsidR="008D79D0" w:rsidRPr="003D07A2" w:rsidRDefault="008D79D0" w:rsidP="00C06C05">
      <w:pPr>
        <w:spacing w:after="0"/>
        <w:ind w:left="284"/>
        <w:jc w:val="center"/>
        <w:rPr>
          <w:rFonts w:cstheme="minorHAnsi"/>
        </w:rPr>
      </w:pPr>
      <w:r w:rsidRPr="003D07A2">
        <w:rPr>
          <w:rFonts w:cstheme="minorHAnsi"/>
        </w:rPr>
        <w:t>VSIA “Slimnīca “Ģintermuiža””</w:t>
      </w:r>
    </w:p>
    <w:p w14:paraId="6CD208D5" w14:textId="77777777" w:rsidR="008D79D0" w:rsidRPr="003D07A2" w:rsidRDefault="008D79D0" w:rsidP="008D79D0">
      <w:pPr>
        <w:spacing w:after="0"/>
        <w:jc w:val="center"/>
        <w:rPr>
          <w:rFonts w:cstheme="minorHAnsi"/>
          <w:b/>
          <w:bCs/>
        </w:rPr>
      </w:pPr>
    </w:p>
    <w:p w14:paraId="50A9D647" w14:textId="509B666A" w:rsidR="008D79D0" w:rsidRPr="003D07A2" w:rsidRDefault="008D79D0" w:rsidP="008D79D0">
      <w:pPr>
        <w:spacing w:after="0"/>
        <w:jc w:val="center"/>
        <w:rPr>
          <w:rFonts w:cstheme="minorHAnsi"/>
          <w:b/>
          <w:bCs/>
        </w:rPr>
      </w:pPr>
      <w:r w:rsidRPr="003D07A2">
        <w:rPr>
          <w:rFonts w:cstheme="minorHAnsi"/>
          <w:b/>
          <w:bCs/>
        </w:rPr>
        <w:t>STARPPERIODU</w:t>
      </w:r>
      <w:r w:rsidR="00C06C05" w:rsidRPr="003D07A2">
        <w:rPr>
          <w:rFonts w:cstheme="minorHAnsi"/>
          <w:b/>
          <w:bCs/>
        </w:rPr>
        <w:t xml:space="preserve"> </w:t>
      </w:r>
      <w:r w:rsidRPr="003D07A2">
        <w:rPr>
          <w:rFonts w:cstheme="minorHAnsi"/>
          <w:b/>
          <w:bCs/>
        </w:rPr>
        <w:t>VADĪBAS</w:t>
      </w:r>
      <w:r w:rsidR="00C06C05" w:rsidRPr="003D07A2">
        <w:rPr>
          <w:rFonts w:cstheme="minorHAnsi"/>
          <w:b/>
          <w:bCs/>
        </w:rPr>
        <w:t xml:space="preserve"> </w:t>
      </w:r>
      <w:r w:rsidRPr="003D07A2">
        <w:rPr>
          <w:rFonts w:cstheme="minorHAnsi"/>
          <w:b/>
          <w:bCs/>
        </w:rPr>
        <w:t>ZIŅOJUMS</w:t>
      </w:r>
    </w:p>
    <w:p w14:paraId="1E8E4839" w14:textId="2A3106EE" w:rsidR="0018783C" w:rsidRDefault="008D79D0" w:rsidP="008D79D0">
      <w:pPr>
        <w:spacing w:after="0"/>
        <w:jc w:val="center"/>
        <w:rPr>
          <w:rFonts w:cstheme="minorHAnsi"/>
        </w:rPr>
      </w:pPr>
      <w:r w:rsidRPr="003D07A2">
        <w:rPr>
          <w:rFonts w:cstheme="minorHAnsi"/>
        </w:rPr>
        <w:t>par 202</w:t>
      </w:r>
      <w:r w:rsidR="00E54C83">
        <w:rPr>
          <w:rFonts w:cstheme="minorHAnsi"/>
        </w:rPr>
        <w:t>2</w:t>
      </w:r>
      <w:r w:rsidRPr="003D07A2">
        <w:rPr>
          <w:rFonts w:cstheme="minorHAnsi"/>
        </w:rPr>
        <w:t xml:space="preserve">. </w:t>
      </w:r>
      <w:r w:rsidR="0073779C" w:rsidRPr="003D07A2">
        <w:rPr>
          <w:rFonts w:cstheme="minorHAnsi"/>
        </w:rPr>
        <w:t>gad</w:t>
      </w:r>
      <w:r w:rsidR="00B10F7D">
        <w:rPr>
          <w:rFonts w:cstheme="minorHAnsi"/>
        </w:rPr>
        <w:t xml:space="preserve">a </w:t>
      </w:r>
      <w:r w:rsidR="00EF63DD">
        <w:rPr>
          <w:rFonts w:cstheme="minorHAnsi"/>
        </w:rPr>
        <w:t>6</w:t>
      </w:r>
      <w:r w:rsidR="00B10F7D">
        <w:rPr>
          <w:rFonts w:cstheme="minorHAnsi"/>
        </w:rPr>
        <w:t xml:space="preserve"> mēnešiem (01.01.-</w:t>
      </w:r>
      <w:r w:rsidR="00EF63DD">
        <w:rPr>
          <w:rFonts w:cstheme="minorHAnsi"/>
        </w:rPr>
        <w:t>30.06</w:t>
      </w:r>
      <w:r w:rsidR="00B10F7D">
        <w:rPr>
          <w:rFonts w:cstheme="minorHAnsi"/>
        </w:rPr>
        <w:t>.)</w:t>
      </w:r>
    </w:p>
    <w:p w14:paraId="5B9B76B3" w14:textId="77777777" w:rsidR="00867F38" w:rsidRPr="003D07A2" w:rsidRDefault="006D677B" w:rsidP="00C06C05">
      <w:pPr>
        <w:spacing w:before="100" w:beforeAutospacing="1" w:after="100" w:afterAutospacing="1"/>
        <w:jc w:val="both"/>
        <w:rPr>
          <w:rFonts w:cstheme="minorHAnsi"/>
        </w:rPr>
      </w:pPr>
      <w:r w:rsidRPr="003D07A2">
        <w:rPr>
          <w:rFonts w:cstheme="minorHAnsi"/>
        </w:rPr>
        <w:t>VSIA “Slimnīca “Ģintermuiža”” (tu</w:t>
      </w:r>
      <w:r w:rsidR="00F7045F" w:rsidRPr="003D07A2">
        <w:rPr>
          <w:rFonts w:cstheme="minorHAnsi"/>
        </w:rPr>
        <w:t>r</w:t>
      </w:r>
      <w:r w:rsidRPr="003D07A2">
        <w:rPr>
          <w:rFonts w:cstheme="minorHAnsi"/>
        </w:rPr>
        <w:t>pmāk – Slimnīca vai Sabiedrība) ir Latvijas Republikas Veselības ministrijas pārraudzībā esoša valsts kapitālsabiedrība.</w:t>
      </w:r>
    </w:p>
    <w:p w14:paraId="762597D3" w14:textId="00D8BD46" w:rsidR="006D677B" w:rsidRPr="003D07A2" w:rsidRDefault="00135C75" w:rsidP="00C06C05">
      <w:pPr>
        <w:spacing w:before="100" w:beforeAutospacing="1" w:after="100" w:afterAutospacing="1"/>
        <w:jc w:val="both"/>
        <w:rPr>
          <w:rFonts w:cstheme="minorHAnsi"/>
        </w:rPr>
      </w:pPr>
      <w:r w:rsidRPr="003D07A2">
        <w:rPr>
          <w:rFonts w:cstheme="minorHAnsi"/>
        </w:rPr>
        <w:t>Saskaņā ar Latvijas Republikas Ministru kabineta 2004.gada 13.aprīļa noteikumu Nr.286 “</w:t>
      </w:r>
      <w:r w:rsidR="00F97D96" w:rsidRPr="003D07A2">
        <w:rPr>
          <w:rFonts w:cstheme="minorHAnsi"/>
        </w:rPr>
        <w:t>V</w:t>
      </w:r>
      <w:r w:rsidRPr="003D07A2">
        <w:rPr>
          <w:rFonts w:cstheme="minorHAnsi"/>
        </w:rPr>
        <w:t>eselības ministrijas nolikums”</w:t>
      </w:r>
      <w:r w:rsidR="00F97D96" w:rsidRPr="003D07A2">
        <w:rPr>
          <w:rFonts w:cstheme="minorHAnsi"/>
        </w:rPr>
        <w:t xml:space="preserve"> </w:t>
      </w:r>
      <w:r w:rsidRPr="003D07A2">
        <w:rPr>
          <w:rFonts w:cstheme="minorHAnsi"/>
        </w:rPr>
        <w:t>25.</w:t>
      </w:r>
      <w:r w:rsidR="00F97D96" w:rsidRPr="003D07A2">
        <w:rPr>
          <w:rFonts w:cstheme="minorHAnsi"/>
        </w:rPr>
        <w:t>7</w:t>
      </w:r>
      <w:r w:rsidRPr="003D07A2">
        <w:rPr>
          <w:rFonts w:cstheme="minorHAnsi"/>
        </w:rPr>
        <w:t>.punktu Veselības ministrija ir Sabiedrības valsts kapitāla daļu turētājs. Atbilstoši Publiskas personas kapitāla daļu un kapitālsabiedrību pārvaldības likuma 12.panta noteikumiem</w:t>
      </w:r>
      <w:r w:rsidR="00F97D96" w:rsidRPr="003D07A2">
        <w:rPr>
          <w:rFonts w:cstheme="minorHAnsi"/>
        </w:rPr>
        <w:t xml:space="preserve"> paredzētos kapitāla daļu turētāja pārstāvis ir Veselības ministrijas valsts sekretāre </w:t>
      </w:r>
      <w:r w:rsidR="003F5E80">
        <w:rPr>
          <w:rFonts w:cstheme="minorHAnsi"/>
        </w:rPr>
        <w:t>Indra Dreika.</w:t>
      </w:r>
    </w:p>
    <w:p w14:paraId="1B3E81F3" w14:textId="33B3154A" w:rsidR="0035297D" w:rsidRPr="003D07A2" w:rsidRDefault="00E42217" w:rsidP="00C06C05">
      <w:pPr>
        <w:spacing w:before="100" w:beforeAutospacing="1" w:after="100" w:afterAutospacing="1"/>
        <w:jc w:val="both"/>
        <w:rPr>
          <w:rFonts w:cstheme="minorHAnsi"/>
        </w:rPr>
      </w:pPr>
      <w:r w:rsidRPr="003D07A2">
        <w:rPr>
          <w:rFonts w:cstheme="minorHAnsi"/>
        </w:rPr>
        <w:t xml:space="preserve">Saskaņā ar Sabiedrības Statūtiem </w:t>
      </w:r>
      <w:r w:rsidR="0035297D" w:rsidRPr="003D07A2">
        <w:rPr>
          <w:rFonts w:cstheme="minorHAnsi"/>
        </w:rPr>
        <w:t xml:space="preserve">Sabiedrības </w:t>
      </w:r>
      <w:r w:rsidRPr="003D07A2">
        <w:rPr>
          <w:rFonts w:cstheme="minorHAnsi"/>
        </w:rPr>
        <w:t>galvenie darbības veidi ir</w:t>
      </w:r>
      <w:r w:rsidR="00C06C05" w:rsidRPr="003D07A2">
        <w:rPr>
          <w:rFonts w:cstheme="minorHAnsi"/>
        </w:rPr>
        <w:t xml:space="preserve"> </w:t>
      </w:r>
      <w:r w:rsidR="0035297D" w:rsidRPr="003D07A2">
        <w:rPr>
          <w:rFonts w:cstheme="minorHAnsi"/>
        </w:rPr>
        <w:t>slimnīcu darbība (NACE klasifikācijas kods 86.10);</w:t>
      </w:r>
      <w:r w:rsidR="00C06C05" w:rsidRPr="003D07A2">
        <w:rPr>
          <w:rFonts w:cstheme="minorHAnsi"/>
        </w:rPr>
        <w:t xml:space="preserve"> </w:t>
      </w:r>
      <w:r w:rsidR="0035297D" w:rsidRPr="003D07A2">
        <w:rPr>
          <w:rFonts w:cstheme="minorHAnsi"/>
        </w:rPr>
        <w:t>Izglītība (85); Veselības aizsardzība (86); Ārstu un zobārstu prakse (86.2); Pētījumu un eksperimentālo izstrāžu veikšana dabas zinātnēs un inženierzinātnēs (72.10); Sociālā aprūpe ar izmitināšanu (87), Sociālā aprūpe bez izmitināšanas (88) u.c.</w:t>
      </w:r>
    </w:p>
    <w:p w14:paraId="480C0A57" w14:textId="0F8466EE" w:rsidR="00E42217" w:rsidRDefault="00E42217" w:rsidP="00C06C05">
      <w:pPr>
        <w:spacing w:before="100" w:beforeAutospacing="1" w:after="100" w:afterAutospacing="1"/>
        <w:jc w:val="both"/>
        <w:rPr>
          <w:rFonts w:cstheme="minorHAnsi"/>
        </w:rPr>
      </w:pPr>
      <w:r w:rsidRPr="003D07A2">
        <w:rPr>
          <w:rFonts w:cstheme="minorHAnsi"/>
        </w:rPr>
        <w:t>Sabiedrības pārskata perioda valdes loceklis ir Artūrs Bērziņš.</w:t>
      </w:r>
    </w:p>
    <w:p w14:paraId="358FDCCB" w14:textId="77777777" w:rsidR="00A1557D" w:rsidRPr="003D07A2" w:rsidRDefault="00A1557D" w:rsidP="00A1557D">
      <w:pPr>
        <w:spacing w:before="100" w:beforeAutospacing="1" w:after="100" w:afterAutospacing="1"/>
        <w:jc w:val="both"/>
        <w:rPr>
          <w:rFonts w:cstheme="minorHAnsi"/>
        </w:rPr>
      </w:pPr>
      <w:r>
        <w:rPr>
          <w:rFonts w:cstheme="minorHAnsi"/>
        </w:rPr>
        <w:t>2022.gadam ir izvirzīts mērķis diennakts stacionārās veselības aprūpes pakalpojuma psihiatrijā pārstrukturēšana, kvalitātes paaugstināšana, piedāvājot pacientam mūsdienīgu, efektīvu un dzīves kvalitātes uzlabojošu kompleksu ārstniecības procesu.</w:t>
      </w:r>
    </w:p>
    <w:p w14:paraId="656D84E3" w14:textId="77777777" w:rsidR="00A1557D" w:rsidRPr="003D07A2" w:rsidRDefault="00A1557D" w:rsidP="00C06C05">
      <w:pPr>
        <w:spacing w:before="100" w:beforeAutospacing="1" w:after="100" w:afterAutospacing="1"/>
        <w:jc w:val="both"/>
        <w:rPr>
          <w:rFonts w:cstheme="minorHAnsi"/>
        </w:rPr>
      </w:pPr>
    </w:p>
    <w:p w14:paraId="3391F4AB" w14:textId="77777777" w:rsidR="008D79D0" w:rsidRPr="003D07A2" w:rsidRDefault="008D79D0" w:rsidP="008D79D0">
      <w:pPr>
        <w:spacing w:after="0"/>
        <w:rPr>
          <w:rFonts w:cstheme="minorHAnsi"/>
          <w:b/>
          <w:bCs/>
        </w:rPr>
      </w:pPr>
      <w:r w:rsidRPr="003D07A2">
        <w:rPr>
          <w:rFonts w:cstheme="minorHAnsi"/>
          <w:b/>
          <w:bCs/>
        </w:rPr>
        <w:t>Pārskata perioda Sabiedrības darbības apraksts</w:t>
      </w:r>
    </w:p>
    <w:p w14:paraId="1FDD3239" w14:textId="77777777" w:rsidR="00AF0274" w:rsidRPr="003D07A2" w:rsidRDefault="00AF0274" w:rsidP="00B607CC">
      <w:pPr>
        <w:spacing w:before="100" w:beforeAutospacing="1" w:after="100" w:afterAutospacing="1"/>
        <w:jc w:val="both"/>
        <w:rPr>
          <w:rFonts w:cstheme="minorHAnsi"/>
        </w:rPr>
      </w:pPr>
      <w:r w:rsidRPr="003D07A2">
        <w:rPr>
          <w:rFonts w:cstheme="minorHAnsi"/>
        </w:rPr>
        <w:t>Pārskata periodā sabiedrība sniedz sekojošus pakalpojumus:</w:t>
      </w:r>
    </w:p>
    <w:p w14:paraId="03DC80C3"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Stacionārie veselības aprūpes pakalpojumi:</w:t>
      </w:r>
    </w:p>
    <w:p w14:paraId="3D447A5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Psihiatriskā palīdzība pieaugušajiem un bērniem</w:t>
      </w:r>
    </w:p>
    <w:p w14:paraId="0715B8EB"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Narkoloģija</w:t>
      </w:r>
    </w:p>
    <w:p w14:paraId="6763BF06"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Obligātā narkoloģiskā palīdzība bērniem pēc bāriņtiesas lēmuma</w:t>
      </w:r>
    </w:p>
    <w:p w14:paraId="78A4371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Narkomānu rehabilitācija stacionārā pieaugušajiem un bērniem</w:t>
      </w:r>
    </w:p>
    <w:p w14:paraId="4EE2A5D4" w14:textId="78447BC4" w:rsidR="009C2945"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Minesotas programma stacionārā</w:t>
      </w:r>
    </w:p>
    <w:p w14:paraId="764CFDC5" w14:textId="3C8154C6" w:rsidR="00091868" w:rsidRPr="003D07A2" w:rsidRDefault="00091868" w:rsidP="00B607CC">
      <w:pPr>
        <w:pStyle w:val="apakvsirsraksts2"/>
        <w:keepLines/>
        <w:numPr>
          <w:ilvl w:val="1"/>
          <w:numId w:val="1"/>
        </w:numPr>
        <w:spacing w:after="0"/>
        <w:jc w:val="both"/>
        <w:rPr>
          <w:rFonts w:cstheme="minorHAnsi"/>
          <w:b w:val="0"/>
          <w:u w:val="none"/>
        </w:rPr>
      </w:pPr>
      <w:r>
        <w:rPr>
          <w:rFonts w:cstheme="minorHAnsi"/>
          <w:b w:val="0"/>
          <w:u w:val="none"/>
        </w:rPr>
        <w:t>COVID-19 pozitīvu pacientu ārstēšana</w:t>
      </w:r>
    </w:p>
    <w:p w14:paraId="680097A5"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Sekundārās ambulatorās veselības aprūpes pakalpojumi:</w:t>
      </w:r>
    </w:p>
    <w:p w14:paraId="79C688C7"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Neiroelektrofizioloģiskie</w:t>
      </w:r>
      <w:proofErr w:type="spellEnd"/>
      <w:r w:rsidRPr="003D07A2">
        <w:rPr>
          <w:rFonts w:cstheme="minorHAnsi"/>
          <w:b w:val="0"/>
          <w:u w:val="none"/>
        </w:rPr>
        <w:t xml:space="preserve"> funkcionālie izmeklējumi</w:t>
      </w:r>
    </w:p>
    <w:p w14:paraId="507A3374"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Psihiatrijas slimnieku ārstēšana psihiatriskā profila dienas stacionārā pieaugušajiem un bērniem</w:t>
      </w:r>
    </w:p>
    <w:p w14:paraId="7B14B809" w14:textId="77777777" w:rsidR="009C2945" w:rsidRPr="003D07A2" w:rsidRDefault="009C2945" w:rsidP="00B607CC">
      <w:pPr>
        <w:pStyle w:val="apakvsirsraksts2"/>
        <w:keepLines/>
        <w:numPr>
          <w:ilvl w:val="1"/>
          <w:numId w:val="1"/>
        </w:numPr>
        <w:spacing w:after="0"/>
        <w:jc w:val="both"/>
        <w:rPr>
          <w:rFonts w:cstheme="minorHAnsi"/>
          <w:b w:val="0"/>
          <w:u w:val="none"/>
        </w:rPr>
      </w:pPr>
      <w:proofErr w:type="spellStart"/>
      <w:r w:rsidRPr="003D07A2">
        <w:rPr>
          <w:rFonts w:cstheme="minorHAnsi"/>
          <w:b w:val="0"/>
          <w:u w:val="none"/>
        </w:rPr>
        <w:t>Metadona</w:t>
      </w:r>
      <w:proofErr w:type="spellEnd"/>
      <w:r w:rsidRPr="003D07A2">
        <w:rPr>
          <w:rFonts w:cstheme="minorHAnsi"/>
          <w:b w:val="0"/>
          <w:u w:val="none"/>
        </w:rPr>
        <w:t xml:space="preserve"> aizvietojošās terapijas kabineta pakalpojumi</w:t>
      </w:r>
    </w:p>
    <w:p w14:paraId="64E53BBC"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Psihologa (</w:t>
      </w:r>
      <w:proofErr w:type="spellStart"/>
      <w:r w:rsidRPr="003D07A2">
        <w:rPr>
          <w:rFonts w:cstheme="minorHAnsi"/>
          <w:b w:val="0"/>
          <w:u w:val="none"/>
        </w:rPr>
        <w:t>Metadona</w:t>
      </w:r>
      <w:proofErr w:type="spellEnd"/>
      <w:r w:rsidRPr="003D07A2">
        <w:rPr>
          <w:rFonts w:cstheme="minorHAnsi"/>
          <w:b w:val="0"/>
          <w:u w:val="none"/>
        </w:rPr>
        <w:t xml:space="preserve"> aizvietojošās programmas ietvaros) pakalpojumi</w:t>
      </w:r>
    </w:p>
    <w:p w14:paraId="49318EE9"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Speciālistu pakalpojumi psihiatrijā un narkoloģijā</w:t>
      </w:r>
    </w:p>
    <w:p w14:paraId="0D4464E7"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Tiesu psihiatriskā un psiholoģiskā ekspertīze</w:t>
      </w:r>
    </w:p>
    <w:p w14:paraId="13DFA6BF"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Rezidentu apmācība psihiatrijā un narkoloģijā</w:t>
      </w:r>
    </w:p>
    <w:p w14:paraId="060CA30A" w14:textId="77777777" w:rsidR="009C2945" w:rsidRPr="003D07A2" w:rsidRDefault="009C2945" w:rsidP="009C2945">
      <w:pPr>
        <w:pStyle w:val="apakvsirsraksts2"/>
        <w:keepLines/>
        <w:numPr>
          <w:ilvl w:val="0"/>
          <w:numId w:val="1"/>
        </w:numPr>
        <w:spacing w:after="0"/>
        <w:jc w:val="both"/>
        <w:rPr>
          <w:rFonts w:cstheme="minorHAnsi"/>
          <w:b w:val="0"/>
          <w:u w:val="none"/>
        </w:rPr>
      </w:pPr>
      <w:r w:rsidRPr="003D07A2">
        <w:rPr>
          <w:rFonts w:cstheme="minorHAnsi"/>
          <w:b w:val="0"/>
          <w:u w:val="none"/>
        </w:rPr>
        <w:t>Sociālā aprūpe un sociālā rehabilitācija:</w:t>
      </w:r>
    </w:p>
    <w:p w14:paraId="2DD76C35" w14:textId="77777777"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Ilgstošā sociālā aprūpe un sociālā rehabilitācija personām ar smagiem garīga rakstura traucējumiem</w:t>
      </w:r>
    </w:p>
    <w:p w14:paraId="3C5F0239" w14:textId="333E951D" w:rsidR="009C2945" w:rsidRPr="003D07A2" w:rsidRDefault="009C2945" w:rsidP="00B607CC">
      <w:pPr>
        <w:pStyle w:val="apakvsirsraksts2"/>
        <w:keepLines/>
        <w:numPr>
          <w:ilvl w:val="1"/>
          <w:numId w:val="1"/>
        </w:numPr>
        <w:spacing w:after="0"/>
        <w:jc w:val="both"/>
        <w:rPr>
          <w:rFonts w:cstheme="minorHAnsi"/>
          <w:b w:val="0"/>
          <w:u w:val="none"/>
        </w:rPr>
      </w:pPr>
      <w:r w:rsidRPr="003D07A2">
        <w:rPr>
          <w:rFonts w:cstheme="minorHAnsi"/>
          <w:b w:val="0"/>
          <w:u w:val="none"/>
        </w:rPr>
        <w:t xml:space="preserve">Sociālās rehabilitācijas pakalpojumi no </w:t>
      </w:r>
      <w:proofErr w:type="spellStart"/>
      <w:r w:rsidRPr="003D07A2">
        <w:rPr>
          <w:rFonts w:cstheme="minorHAnsi"/>
          <w:b w:val="0"/>
          <w:u w:val="none"/>
        </w:rPr>
        <w:t>psihoaktīvām</w:t>
      </w:r>
      <w:proofErr w:type="spellEnd"/>
      <w:r w:rsidRPr="003D07A2">
        <w:rPr>
          <w:rFonts w:cstheme="minorHAnsi"/>
          <w:b w:val="0"/>
          <w:u w:val="none"/>
        </w:rPr>
        <w:t xml:space="preserve"> vielām atkarīgiem pieaugušām personām</w:t>
      </w:r>
    </w:p>
    <w:p w14:paraId="4D9D1A40" w14:textId="77777777" w:rsidR="008328C0" w:rsidRDefault="008328C0" w:rsidP="008328C0">
      <w:pPr>
        <w:pStyle w:val="Sarakstarindkopa"/>
        <w:spacing w:before="100" w:beforeAutospacing="1" w:after="100" w:afterAutospacing="1"/>
        <w:jc w:val="both"/>
        <w:rPr>
          <w:rFonts w:cstheme="minorHAnsi"/>
        </w:rPr>
      </w:pPr>
    </w:p>
    <w:p w14:paraId="7617BD4B" w14:textId="02720CE2" w:rsidR="00920D13" w:rsidRDefault="00920D13" w:rsidP="00216461">
      <w:pPr>
        <w:pStyle w:val="Sarakstarindkopa"/>
        <w:spacing w:before="100" w:beforeAutospacing="1" w:after="100" w:afterAutospacing="1"/>
        <w:ind w:left="426" w:firstLine="153"/>
        <w:jc w:val="both"/>
        <w:rPr>
          <w:rFonts w:cstheme="minorHAnsi"/>
        </w:rPr>
      </w:pPr>
      <w:r>
        <w:rPr>
          <w:rFonts w:cstheme="minorHAnsi"/>
        </w:rPr>
        <w:t xml:space="preserve">Visa pārskata laikā slimnīca sniedz psihologa pakalpojumus </w:t>
      </w:r>
      <w:proofErr w:type="spellStart"/>
      <w:r>
        <w:rPr>
          <w:rFonts w:cstheme="minorHAnsi"/>
        </w:rPr>
        <w:t>psihoemocionālā</w:t>
      </w:r>
      <w:proofErr w:type="spellEnd"/>
      <w:r>
        <w:rPr>
          <w:rFonts w:cstheme="minorHAnsi"/>
        </w:rPr>
        <w:t xml:space="preserve"> atbalsta nodrošināšanai darbiniekiem, kas strādā COVID-19 pandēmijas apstākļos</w:t>
      </w:r>
      <w:r w:rsidR="00FB102D">
        <w:rPr>
          <w:rFonts w:cstheme="minorHAnsi"/>
        </w:rPr>
        <w:t xml:space="preserve"> un </w:t>
      </w:r>
      <w:r w:rsidR="00216461">
        <w:rPr>
          <w:rFonts w:cstheme="minorHAnsi"/>
        </w:rPr>
        <w:t>pārskata gada 1.ceturksnī arī</w:t>
      </w:r>
      <w:r w:rsidR="00FB102D" w:rsidRPr="00FB102D">
        <w:rPr>
          <w:rFonts w:cstheme="minorHAnsi"/>
        </w:rPr>
        <w:t xml:space="preserve"> </w:t>
      </w:r>
      <w:r w:rsidR="00FB102D">
        <w:rPr>
          <w:rFonts w:cstheme="minorHAnsi"/>
        </w:rPr>
        <w:t>Vakcinācijas kabineta pakalpojumus</w:t>
      </w:r>
      <w:r>
        <w:rPr>
          <w:rFonts w:cstheme="minorHAnsi"/>
        </w:rPr>
        <w:t>.</w:t>
      </w:r>
    </w:p>
    <w:p w14:paraId="098F1C09" w14:textId="5F74B477" w:rsidR="00156676" w:rsidRPr="00091868" w:rsidRDefault="00BA681A" w:rsidP="00156676">
      <w:pPr>
        <w:pStyle w:val="Sarakstarindkopa"/>
        <w:spacing w:before="100" w:beforeAutospacing="1" w:after="100" w:afterAutospacing="1"/>
        <w:ind w:left="426"/>
        <w:jc w:val="both"/>
        <w:rPr>
          <w:rFonts w:cstheme="minorHAnsi"/>
        </w:rPr>
      </w:pPr>
      <w:r>
        <w:rPr>
          <w:rFonts w:cstheme="minorHAnsi"/>
        </w:rPr>
        <w:t>No</w:t>
      </w:r>
      <w:r w:rsidR="00156676">
        <w:rPr>
          <w:rFonts w:cstheme="minorHAnsi"/>
        </w:rPr>
        <w:t xml:space="preserve"> 2021.gada 29.oktobr</w:t>
      </w:r>
      <w:r>
        <w:rPr>
          <w:rFonts w:cstheme="minorHAnsi"/>
        </w:rPr>
        <w:t>a līdz 2022.gada 1aprīlim</w:t>
      </w:r>
      <w:r w:rsidR="00156676">
        <w:rPr>
          <w:rFonts w:cstheme="minorHAnsi"/>
        </w:rPr>
        <w:t xml:space="preserve"> papildus </w:t>
      </w:r>
      <w:r w:rsidR="00A2332F">
        <w:rPr>
          <w:rFonts w:cstheme="minorHAnsi"/>
        </w:rPr>
        <w:t>ir pieejamas</w:t>
      </w:r>
      <w:r w:rsidR="00156676">
        <w:rPr>
          <w:rFonts w:cstheme="minorHAnsi"/>
        </w:rPr>
        <w:t xml:space="preserve"> 15 gultas COVID-19 profila pacientu ar </w:t>
      </w:r>
      <w:proofErr w:type="spellStart"/>
      <w:r w:rsidR="00156676">
        <w:rPr>
          <w:rFonts w:cstheme="minorHAnsi"/>
        </w:rPr>
        <w:t>blakusdiagnozi</w:t>
      </w:r>
      <w:proofErr w:type="spellEnd"/>
      <w:r w:rsidR="00156676">
        <w:rPr>
          <w:rFonts w:cstheme="minorHAnsi"/>
        </w:rPr>
        <w:t xml:space="preserve"> psihiatrijā (izņemot skābekļa atkarīgu pacientu) ārstēšanai </w:t>
      </w:r>
      <w:proofErr w:type="spellStart"/>
      <w:r w:rsidR="00156676">
        <w:rPr>
          <w:rFonts w:cstheme="minorHAnsi"/>
        </w:rPr>
        <w:t>Gerontopsihiatrijas</w:t>
      </w:r>
      <w:proofErr w:type="spellEnd"/>
      <w:r w:rsidR="00156676">
        <w:rPr>
          <w:rFonts w:cstheme="minorHAnsi"/>
        </w:rPr>
        <w:t xml:space="preserve"> nodaļas atdalītajās telpās</w:t>
      </w:r>
      <w:r w:rsidR="00A2332F">
        <w:rPr>
          <w:rFonts w:cstheme="minorHAnsi"/>
        </w:rPr>
        <w:t>.</w:t>
      </w:r>
    </w:p>
    <w:p w14:paraId="23E51DCC" w14:textId="2A8D2971" w:rsidR="009C2945" w:rsidRPr="003D07A2" w:rsidRDefault="00091868" w:rsidP="00C06C05">
      <w:pPr>
        <w:spacing w:before="100" w:beforeAutospacing="1" w:after="100" w:afterAutospacing="1"/>
        <w:jc w:val="both"/>
        <w:rPr>
          <w:rFonts w:cstheme="minorHAnsi"/>
        </w:rPr>
      </w:pPr>
      <w:r>
        <w:rPr>
          <w:rFonts w:cstheme="minorHAnsi"/>
        </w:rPr>
        <w:t>N</w:t>
      </w:r>
      <w:r w:rsidR="009C2945" w:rsidRPr="003D07A2">
        <w:rPr>
          <w:rFonts w:cstheme="minorHAnsi"/>
        </w:rPr>
        <w:t>o 202</w:t>
      </w:r>
      <w:r w:rsidR="00A2332F">
        <w:rPr>
          <w:rFonts w:cstheme="minorHAnsi"/>
        </w:rPr>
        <w:t>2</w:t>
      </w:r>
      <w:r w:rsidR="009C2945" w:rsidRPr="003D07A2">
        <w:rPr>
          <w:rFonts w:cstheme="minorHAnsi"/>
        </w:rPr>
        <w:t>. gada 1.janvāra</w:t>
      </w:r>
      <w:r w:rsidR="0073779C" w:rsidRPr="003D07A2">
        <w:rPr>
          <w:rFonts w:cstheme="minorHAnsi"/>
        </w:rPr>
        <w:t xml:space="preserve"> </w:t>
      </w:r>
      <w:r w:rsidR="009C2945" w:rsidRPr="003D07A2">
        <w:rPr>
          <w:rFonts w:cstheme="minorHAnsi"/>
        </w:rPr>
        <w:t xml:space="preserve">ir pieejamas </w:t>
      </w:r>
      <w:r w:rsidR="00B607CC" w:rsidRPr="003D07A2">
        <w:rPr>
          <w:rFonts w:cstheme="minorHAnsi"/>
        </w:rPr>
        <w:t xml:space="preserve">šādas </w:t>
      </w:r>
      <w:r w:rsidR="009C2945" w:rsidRPr="003D07A2">
        <w:rPr>
          <w:rFonts w:cstheme="minorHAnsi"/>
        </w:rPr>
        <w:t>nodaļas</w:t>
      </w:r>
      <w:r w:rsidR="000C0B25">
        <w:rPr>
          <w:rFonts w:cstheme="minorHAnsi"/>
        </w:rPr>
        <w:t xml:space="preserve"> (kopā 269 gultu vietas)</w:t>
      </w:r>
      <w:r w:rsidR="009C2945" w:rsidRPr="003D07A2">
        <w:rPr>
          <w:rFonts w:cstheme="minorHAnsi"/>
        </w:rPr>
        <w:t>:</w:t>
      </w:r>
    </w:p>
    <w:p w14:paraId="27B4F3D4" w14:textId="77C6E1D8"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1.akūtā psihiatrijas nodaļā – </w:t>
      </w:r>
      <w:r w:rsidR="006A58C0">
        <w:rPr>
          <w:rFonts w:cstheme="minorHAnsi"/>
        </w:rPr>
        <w:t>6</w:t>
      </w:r>
      <w:r w:rsidRPr="003D07A2">
        <w:rPr>
          <w:rFonts w:cstheme="minorHAnsi"/>
        </w:rPr>
        <w:t>0 vietas</w:t>
      </w:r>
    </w:p>
    <w:p w14:paraId="63FAC1E3" w14:textId="14723C0B"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2.akūtās psihiatrijas nodaļā – </w:t>
      </w:r>
      <w:r w:rsidR="000C0B25">
        <w:rPr>
          <w:rFonts w:cstheme="minorHAnsi"/>
        </w:rPr>
        <w:t>6</w:t>
      </w:r>
      <w:r w:rsidRPr="003D07A2">
        <w:rPr>
          <w:rFonts w:cstheme="minorHAnsi"/>
        </w:rPr>
        <w:t>0 vietas</w:t>
      </w:r>
    </w:p>
    <w:p w14:paraId="25ED124F" w14:textId="25833EB5"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Neirožu nodaļa – </w:t>
      </w:r>
      <w:r w:rsidR="000C0B25">
        <w:rPr>
          <w:rFonts w:cstheme="minorHAnsi"/>
        </w:rPr>
        <w:t>24</w:t>
      </w:r>
      <w:r w:rsidRPr="003D07A2">
        <w:rPr>
          <w:rFonts w:cstheme="minorHAnsi"/>
        </w:rPr>
        <w:t xml:space="preserve"> vietas</w:t>
      </w:r>
    </w:p>
    <w:p w14:paraId="12E4294F" w14:textId="487E1D38" w:rsidR="009C2945" w:rsidRDefault="009C2945" w:rsidP="009C2945">
      <w:pPr>
        <w:pStyle w:val="Sarakstarindkopa"/>
        <w:numPr>
          <w:ilvl w:val="0"/>
          <w:numId w:val="2"/>
        </w:numPr>
        <w:spacing w:after="0"/>
        <w:jc w:val="both"/>
        <w:rPr>
          <w:rFonts w:cstheme="minorHAnsi"/>
        </w:rPr>
      </w:pPr>
      <w:r w:rsidRPr="003D07A2">
        <w:rPr>
          <w:rFonts w:cstheme="minorHAnsi"/>
        </w:rPr>
        <w:t xml:space="preserve">Hroniskās psihiatrijas nodaļā – </w:t>
      </w:r>
      <w:r w:rsidR="000C0B25">
        <w:rPr>
          <w:rFonts w:cstheme="minorHAnsi"/>
        </w:rPr>
        <w:t>36</w:t>
      </w:r>
      <w:r w:rsidRPr="003D07A2">
        <w:rPr>
          <w:rFonts w:cstheme="minorHAnsi"/>
        </w:rPr>
        <w:t xml:space="preserve"> vietas</w:t>
      </w:r>
    </w:p>
    <w:p w14:paraId="5C41ED3C" w14:textId="77C7D5E4" w:rsidR="00B607CC" w:rsidRPr="003D07A2" w:rsidRDefault="00AD2C34" w:rsidP="009C2945">
      <w:pPr>
        <w:pStyle w:val="Sarakstarindkopa"/>
        <w:numPr>
          <w:ilvl w:val="0"/>
          <w:numId w:val="2"/>
        </w:numPr>
        <w:spacing w:after="0"/>
        <w:jc w:val="both"/>
        <w:rPr>
          <w:rFonts w:cstheme="minorHAnsi"/>
        </w:rPr>
      </w:pPr>
      <w:r w:rsidRPr="003D07A2">
        <w:rPr>
          <w:rFonts w:cstheme="minorHAnsi"/>
        </w:rPr>
        <w:t>Narkoloģiskā profila pacientiem</w:t>
      </w:r>
      <w:r w:rsidR="006B2C14" w:rsidRPr="003D07A2">
        <w:rPr>
          <w:rFonts w:cstheme="minorHAnsi"/>
        </w:rPr>
        <w:t>:</w:t>
      </w:r>
    </w:p>
    <w:p w14:paraId="464A47CE" w14:textId="4865782D" w:rsidR="00AD2C34" w:rsidRPr="003D07A2" w:rsidRDefault="00AD2C34" w:rsidP="00AD2C34">
      <w:pPr>
        <w:pStyle w:val="Sarakstarindkopa"/>
        <w:numPr>
          <w:ilvl w:val="1"/>
          <w:numId w:val="2"/>
        </w:numPr>
        <w:spacing w:after="0"/>
        <w:jc w:val="both"/>
        <w:rPr>
          <w:rFonts w:cstheme="minorHAnsi"/>
        </w:rPr>
      </w:pPr>
      <w:r w:rsidRPr="003D07A2">
        <w:rPr>
          <w:rFonts w:cstheme="minorHAnsi"/>
        </w:rPr>
        <w:t>narkoloģija – 19 vietas</w:t>
      </w:r>
      <w:r w:rsidR="006B2C14" w:rsidRPr="003D07A2">
        <w:rPr>
          <w:rFonts w:cstheme="minorHAnsi"/>
        </w:rPr>
        <w:t>;</w:t>
      </w:r>
    </w:p>
    <w:p w14:paraId="5CF377CD" w14:textId="52B505F4"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obligātā narkoloģiskā palīdzība bērniem pēc bāriņtiesas lēmuma </w:t>
      </w:r>
      <w:r w:rsidR="006B2C14" w:rsidRPr="003D07A2">
        <w:rPr>
          <w:rFonts w:cstheme="minorHAnsi"/>
        </w:rPr>
        <w:t xml:space="preserve">– </w:t>
      </w:r>
      <w:r w:rsidRPr="003D07A2">
        <w:rPr>
          <w:rFonts w:cstheme="minorHAnsi"/>
        </w:rPr>
        <w:t>1 vieta</w:t>
      </w:r>
      <w:r w:rsidR="006B2C14" w:rsidRPr="003D07A2">
        <w:rPr>
          <w:rFonts w:cstheme="minorHAnsi"/>
        </w:rPr>
        <w:t>;</w:t>
      </w:r>
    </w:p>
    <w:p w14:paraId="7A652904" w14:textId="41EC33A6"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Minesotas programma stacionārā </w:t>
      </w:r>
      <w:r w:rsidR="006B2C14" w:rsidRPr="003D07A2">
        <w:rPr>
          <w:rFonts w:cstheme="minorHAnsi"/>
        </w:rPr>
        <w:t xml:space="preserve">– </w:t>
      </w:r>
      <w:r w:rsidRPr="003D07A2">
        <w:rPr>
          <w:rFonts w:cstheme="minorHAnsi"/>
        </w:rPr>
        <w:t>10 vietas;</w:t>
      </w:r>
    </w:p>
    <w:p w14:paraId="0A999795" w14:textId="47D80CBA"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pieaugušajiem </w:t>
      </w:r>
      <w:r w:rsidR="006B2C14" w:rsidRPr="003D07A2">
        <w:rPr>
          <w:rFonts w:cstheme="minorHAnsi"/>
        </w:rPr>
        <w:t xml:space="preserve">– </w:t>
      </w:r>
      <w:r w:rsidRPr="003D07A2">
        <w:rPr>
          <w:rFonts w:cstheme="minorHAnsi"/>
        </w:rPr>
        <w:t>5 vietas;</w:t>
      </w:r>
    </w:p>
    <w:p w14:paraId="0332835C" w14:textId="49FF7E4E" w:rsidR="00AD2C34" w:rsidRPr="003D07A2" w:rsidRDefault="00AD2C34" w:rsidP="00AD2C34">
      <w:pPr>
        <w:pStyle w:val="Sarakstarindkopa"/>
        <w:numPr>
          <w:ilvl w:val="1"/>
          <w:numId w:val="2"/>
        </w:numPr>
        <w:spacing w:after="0"/>
        <w:jc w:val="both"/>
        <w:rPr>
          <w:rFonts w:cstheme="minorHAnsi"/>
        </w:rPr>
      </w:pPr>
      <w:r w:rsidRPr="003D07A2">
        <w:rPr>
          <w:rFonts w:cstheme="minorHAnsi"/>
        </w:rPr>
        <w:t xml:space="preserve">narkomānu rehabilitācija stacionārā bērniem </w:t>
      </w:r>
      <w:r w:rsidR="006B2C14" w:rsidRPr="003D07A2">
        <w:rPr>
          <w:rFonts w:cstheme="minorHAnsi"/>
        </w:rPr>
        <w:t xml:space="preserve">– </w:t>
      </w:r>
      <w:r w:rsidRPr="003D07A2">
        <w:rPr>
          <w:rFonts w:cstheme="minorHAnsi"/>
        </w:rPr>
        <w:t>5 vietas</w:t>
      </w:r>
      <w:r w:rsidR="006B2C14" w:rsidRPr="003D07A2">
        <w:rPr>
          <w:rFonts w:cstheme="minorHAnsi"/>
        </w:rPr>
        <w:t>;</w:t>
      </w:r>
    </w:p>
    <w:p w14:paraId="56116F8C" w14:textId="2FC6287D" w:rsidR="009C2945" w:rsidRPr="003D07A2" w:rsidRDefault="009C2945" w:rsidP="009C2945">
      <w:pPr>
        <w:pStyle w:val="Sarakstarindkopa"/>
        <w:numPr>
          <w:ilvl w:val="0"/>
          <w:numId w:val="2"/>
        </w:numPr>
        <w:spacing w:after="0"/>
        <w:jc w:val="both"/>
        <w:rPr>
          <w:rFonts w:cstheme="minorHAnsi"/>
        </w:rPr>
      </w:pPr>
      <w:proofErr w:type="spellStart"/>
      <w:r w:rsidRPr="003D07A2">
        <w:rPr>
          <w:rFonts w:cstheme="minorHAnsi"/>
        </w:rPr>
        <w:t>Gerontopsihiatrijas</w:t>
      </w:r>
      <w:proofErr w:type="spellEnd"/>
      <w:r w:rsidRPr="003D07A2">
        <w:rPr>
          <w:rFonts w:cstheme="minorHAnsi"/>
        </w:rPr>
        <w:t xml:space="preserve"> nodaļā – </w:t>
      </w:r>
      <w:r w:rsidR="00AE596D">
        <w:rPr>
          <w:rFonts w:cstheme="minorHAnsi"/>
        </w:rPr>
        <w:t>24</w:t>
      </w:r>
      <w:r w:rsidRPr="003D07A2">
        <w:rPr>
          <w:rFonts w:cstheme="minorHAnsi"/>
        </w:rPr>
        <w:t xml:space="preserve"> vietas;</w:t>
      </w:r>
    </w:p>
    <w:p w14:paraId="75F1425F" w14:textId="337A06BE" w:rsidR="009C2945" w:rsidRPr="003D07A2" w:rsidRDefault="009C2945" w:rsidP="009C2945">
      <w:pPr>
        <w:pStyle w:val="Sarakstarindkopa"/>
        <w:numPr>
          <w:ilvl w:val="0"/>
          <w:numId w:val="2"/>
        </w:numPr>
        <w:spacing w:after="0"/>
        <w:jc w:val="both"/>
        <w:rPr>
          <w:rFonts w:cstheme="minorHAnsi"/>
        </w:rPr>
      </w:pPr>
      <w:r w:rsidRPr="003D07A2">
        <w:rPr>
          <w:rFonts w:cstheme="minorHAnsi"/>
        </w:rPr>
        <w:t xml:space="preserve">Bērnu psihiatrijas nodaļā – </w:t>
      </w:r>
      <w:r w:rsidR="009536E1">
        <w:rPr>
          <w:rFonts w:cstheme="minorHAnsi"/>
        </w:rPr>
        <w:t xml:space="preserve">20 </w:t>
      </w:r>
      <w:r w:rsidRPr="003D07A2">
        <w:rPr>
          <w:rFonts w:cstheme="minorHAnsi"/>
        </w:rPr>
        <w:t>vietas</w:t>
      </w:r>
    </w:p>
    <w:p w14:paraId="438C21A9" w14:textId="77777777" w:rsidR="009C2945" w:rsidRPr="003D07A2" w:rsidRDefault="009C2945" w:rsidP="009C2945">
      <w:pPr>
        <w:pStyle w:val="Sarakstarindkopa"/>
        <w:numPr>
          <w:ilvl w:val="0"/>
          <w:numId w:val="2"/>
        </w:numPr>
        <w:spacing w:after="0"/>
        <w:jc w:val="both"/>
        <w:rPr>
          <w:rFonts w:cstheme="minorHAnsi"/>
        </w:rPr>
      </w:pPr>
      <w:r w:rsidRPr="003D07A2">
        <w:rPr>
          <w:rFonts w:cstheme="minorHAnsi"/>
        </w:rPr>
        <w:t>Uzņemšanas nodaļā ar 5 observācijas gultas vietām.</w:t>
      </w:r>
    </w:p>
    <w:p w14:paraId="10222142" w14:textId="77777777" w:rsidR="00BF773F" w:rsidRDefault="00BF773F" w:rsidP="00BF773F">
      <w:pPr>
        <w:spacing w:after="0"/>
        <w:jc w:val="both"/>
        <w:rPr>
          <w:rStyle w:val="Izteiksmgs"/>
          <w:b w:val="0"/>
          <w:bCs w:val="0"/>
        </w:rPr>
      </w:pPr>
    </w:p>
    <w:p w14:paraId="0B7B0DCA" w14:textId="1A27AF1E" w:rsidR="008328C0" w:rsidRDefault="00013768" w:rsidP="00BF773F">
      <w:pPr>
        <w:spacing w:after="0"/>
        <w:jc w:val="both"/>
        <w:rPr>
          <w:b/>
          <w:bCs/>
        </w:rPr>
      </w:pPr>
      <w:r>
        <w:rPr>
          <w:rStyle w:val="Izteiksmgs"/>
          <w:b w:val="0"/>
          <w:bCs w:val="0"/>
        </w:rPr>
        <w:t>Pārskata periodā l</w:t>
      </w:r>
      <w:r w:rsidR="00CE611F" w:rsidRPr="00BF773F">
        <w:rPr>
          <w:rStyle w:val="Izteiksmgs"/>
          <w:b w:val="0"/>
          <w:bCs w:val="0"/>
        </w:rPr>
        <w:t>ai novērstu Covid-19, īpaši tā jaunā paveida – </w:t>
      </w:r>
      <w:r w:rsidR="00CE611F" w:rsidRPr="00BF773F">
        <w:rPr>
          <w:rStyle w:val="Izclums"/>
        </w:rPr>
        <w:t>omikrona -</w:t>
      </w:r>
      <w:r w:rsidR="00CE611F" w:rsidRPr="00BF773F">
        <w:rPr>
          <w:rStyle w:val="Izteiksmgs"/>
          <w:b w:val="0"/>
          <w:bCs w:val="0"/>
        </w:rPr>
        <w:t> strauju izplatības pieaugumu un saslimstības izraisītos riskus valsts funkciju, tostarp veselības aprūpes pakalpojumu, sabiedrības drošības, sociālo pakalpojumu nodrošināšanai, valdība pagarinā</w:t>
      </w:r>
      <w:r>
        <w:rPr>
          <w:rStyle w:val="Izteiksmgs"/>
          <w:b w:val="0"/>
          <w:bCs w:val="0"/>
        </w:rPr>
        <w:t>ja</w:t>
      </w:r>
      <w:r w:rsidR="00CE611F" w:rsidRPr="00BF773F">
        <w:rPr>
          <w:rStyle w:val="Izteiksmgs"/>
          <w:b w:val="0"/>
          <w:bCs w:val="0"/>
        </w:rPr>
        <w:t xml:space="preserve"> ārkārtējo situāciju līdz 28.februārim, atstājot spēkā jau esošos epidemioloģiskās drošības pasākumus</w:t>
      </w:r>
      <w:r w:rsidR="00CE611F" w:rsidRPr="00BF773F">
        <w:rPr>
          <w:b/>
          <w:bCs/>
        </w:rPr>
        <w:t>.</w:t>
      </w:r>
    </w:p>
    <w:p w14:paraId="7F75C30C" w14:textId="77777777" w:rsidR="004B2445" w:rsidRPr="00BF773F" w:rsidRDefault="004B2445" w:rsidP="00BF773F">
      <w:pPr>
        <w:spacing w:after="0"/>
        <w:jc w:val="both"/>
        <w:rPr>
          <w:rFonts w:cstheme="minorHAnsi"/>
          <w:b/>
          <w:bCs/>
        </w:rPr>
      </w:pPr>
    </w:p>
    <w:p w14:paraId="7B885031" w14:textId="08038E69" w:rsidR="008D79D0" w:rsidRPr="003D07A2" w:rsidRDefault="008D79D0" w:rsidP="008D79D0">
      <w:pPr>
        <w:spacing w:after="0"/>
        <w:rPr>
          <w:rFonts w:cstheme="minorHAnsi"/>
          <w:b/>
          <w:bCs/>
        </w:rPr>
      </w:pPr>
      <w:r w:rsidRPr="003D07A2">
        <w:rPr>
          <w:rFonts w:cstheme="minorHAnsi"/>
          <w:b/>
          <w:bCs/>
        </w:rPr>
        <w:t>Sabiedrības finanšu darbības rezultāti</w:t>
      </w:r>
    </w:p>
    <w:p w14:paraId="44BAC103" w14:textId="53B78563" w:rsidR="009209F4" w:rsidRPr="003D07A2" w:rsidRDefault="00D44D91" w:rsidP="00C06C05">
      <w:pPr>
        <w:spacing w:before="100" w:beforeAutospacing="1" w:after="100" w:afterAutospacing="1"/>
        <w:jc w:val="both"/>
        <w:rPr>
          <w:rFonts w:cstheme="minorHAnsi"/>
        </w:rPr>
      </w:pPr>
      <w:r w:rsidRPr="003D07A2">
        <w:rPr>
          <w:rFonts w:cstheme="minorHAnsi"/>
        </w:rPr>
        <w:t xml:space="preserve">Pārskata perioda neto apgrozījums ir </w:t>
      </w:r>
      <w:r w:rsidR="00112F4B">
        <w:rPr>
          <w:rFonts w:cstheme="minorHAnsi"/>
        </w:rPr>
        <w:t>5.8</w:t>
      </w:r>
      <w:r w:rsidRPr="003D07A2">
        <w:rPr>
          <w:rFonts w:cstheme="minorHAnsi"/>
        </w:rPr>
        <w:t xml:space="preserve"> miljoni </w:t>
      </w:r>
      <w:proofErr w:type="spellStart"/>
      <w:r w:rsidRPr="003D07A2">
        <w:rPr>
          <w:rFonts w:cstheme="minorHAnsi"/>
        </w:rPr>
        <w:t>euro</w:t>
      </w:r>
      <w:proofErr w:type="spellEnd"/>
      <w:r w:rsidRPr="003D07A2">
        <w:rPr>
          <w:rFonts w:cstheme="minorHAnsi"/>
        </w:rPr>
        <w:t>, kas, salīdzinot ar 20</w:t>
      </w:r>
      <w:r w:rsidR="008328C0">
        <w:rPr>
          <w:rFonts w:cstheme="minorHAnsi"/>
        </w:rPr>
        <w:t>2</w:t>
      </w:r>
      <w:r w:rsidR="00DA0717">
        <w:rPr>
          <w:rFonts w:cstheme="minorHAnsi"/>
        </w:rPr>
        <w:t>1</w:t>
      </w:r>
      <w:r w:rsidRPr="003D07A2">
        <w:rPr>
          <w:rFonts w:cstheme="minorHAnsi"/>
        </w:rPr>
        <w:t xml:space="preserve">.gadu, ir palielinājies par </w:t>
      </w:r>
      <w:r w:rsidR="008328C0">
        <w:rPr>
          <w:rFonts w:cstheme="minorHAnsi"/>
        </w:rPr>
        <w:t>0.</w:t>
      </w:r>
      <w:r w:rsidR="00A06C2F">
        <w:rPr>
          <w:rFonts w:cstheme="minorHAnsi"/>
        </w:rPr>
        <w:t>2</w:t>
      </w:r>
      <w:r w:rsidR="004C5AC1" w:rsidRPr="003D07A2">
        <w:rPr>
          <w:rFonts w:cstheme="minorHAnsi"/>
        </w:rPr>
        <w:t xml:space="preserve"> </w:t>
      </w:r>
      <w:proofErr w:type="spellStart"/>
      <w:r w:rsidR="004C5AC1"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bet ir par </w:t>
      </w:r>
      <w:r w:rsidR="008328C0">
        <w:rPr>
          <w:rFonts w:cstheme="minorHAnsi"/>
        </w:rPr>
        <w:t>0.</w:t>
      </w:r>
      <w:r w:rsidR="003A67FB">
        <w:rPr>
          <w:rFonts w:cstheme="minorHAnsi"/>
        </w:rPr>
        <w:t>4</w:t>
      </w:r>
      <w:r w:rsidR="008328C0">
        <w:rPr>
          <w:rFonts w:cstheme="minorHAnsi"/>
        </w:rPr>
        <w:t>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mazāk kā 202</w:t>
      </w:r>
      <w:r w:rsidR="001248A7">
        <w:rPr>
          <w:rFonts w:cstheme="minorHAnsi"/>
        </w:rPr>
        <w:t>2</w:t>
      </w:r>
      <w:r w:rsidRPr="003D07A2">
        <w:rPr>
          <w:rFonts w:cstheme="minorHAnsi"/>
        </w:rPr>
        <w:t>.gadā</w:t>
      </w:r>
      <w:r w:rsidR="001248A7">
        <w:rPr>
          <w:rFonts w:cstheme="minorHAnsi"/>
        </w:rPr>
        <w:t xml:space="preserve"> plānots</w:t>
      </w:r>
      <w:r w:rsidRPr="003D07A2">
        <w:rPr>
          <w:rFonts w:cstheme="minorHAnsi"/>
        </w:rPr>
        <w:t>.</w:t>
      </w:r>
    </w:p>
    <w:p w14:paraId="4B8B788A" w14:textId="5383F71B" w:rsidR="000C4CC7" w:rsidRPr="003D07A2" w:rsidRDefault="000C4CC7" w:rsidP="00C06C05">
      <w:pPr>
        <w:spacing w:before="100" w:beforeAutospacing="1" w:after="100" w:afterAutospacing="1"/>
        <w:jc w:val="both"/>
        <w:rPr>
          <w:rFonts w:cstheme="minorHAnsi"/>
        </w:rPr>
      </w:pPr>
      <w:r w:rsidRPr="003D07A2">
        <w:rPr>
          <w:rFonts w:cstheme="minorHAnsi"/>
        </w:rPr>
        <w:t xml:space="preserve">Kopējie kapitālsabiedrības ieņēmumi pārskata gadā ir vairāk kā </w:t>
      </w:r>
      <w:r w:rsidR="00F72449">
        <w:rPr>
          <w:rFonts w:cstheme="minorHAnsi"/>
        </w:rPr>
        <w:t>6.3</w:t>
      </w:r>
      <w:r w:rsidRPr="003D07A2">
        <w:rPr>
          <w:rFonts w:cstheme="minorHAnsi"/>
        </w:rPr>
        <w:t xml:space="preserve"> </w:t>
      </w:r>
      <w:proofErr w:type="spellStart"/>
      <w:r w:rsidRPr="003D07A2">
        <w:rPr>
          <w:rFonts w:cstheme="minorHAnsi"/>
        </w:rPr>
        <w:t>milj.euro</w:t>
      </w:r>
      <w:proofErr w:type="spellEnd"/>
      <w:r w:rsidRPr="003D07A2">
        <w:rPr>
          <w:rFonts w:cstheme="minorHAnsi"/>
        </w:rPr>
        <w:t xml:space="preserve">, kas ir par </w:t>
      </w:r>
      <w:r w:rsidR="00FA2B4E">
        <w:rPr>
          <w:rFonts w:cstheme="minorHAnsi"/>
        </w:rPr>
        <w:t>0.</w:t>
      </w:r>
      <w:r w:rsidR="003A67FB">
        <w:rPr>
          <w:rFonts w:cstheme="minorHAnsi"/>
        </w:rPr>
        <w:t>1</w:t>
      </w:r>
      <w:r w:rsidRPr="003D07A2">
        <w:rPr>
          <w:rFonts w:cstheme="minorHAnsi"/>
        </w:rPr>
        <w:t xml:space="preserve">milj.euro </w:t>
      </w:r>
      <w:r w:rsidR="00991857">
        <w:rPr>
          <w:rFonts w:cstheme="minorHAnsi"/>
        </w:rPr>
        <w:t xml:space="preserve">mazāk </w:t>
      </w:r>
      <w:r w:rsidRPr="003D07A2">
        <w:rPr>
          <w:rFonts w:cstheme="minorHAnsi"/>
        </w:rPr>
        <w:t>kā 20</w:t>
      </w:r>
      <w:r w:rsidR="00FA2B4E">
        <w:rPr>
          <w:rFonts w:cstheme="minorHAnsi"/>
        </w:rPr>
        <w:t>2</w:t>
      </w:r>
      <w:r w:rsidR="004D5EDD">
        <w:rPr>
          <w:rFonts w:cstheme="minorHAnsi"/>
        </w:rPr>
        <w:t>1</w:t>
      </w:r>
      <w:r w:rsidRPr="003D07A2">
        <w:rPr>
          <w:rFonts w:cstheme="minorHAnsi"/>
        </w:rPr>
        <w:t xml:space="preserve">.gadā un par </w:t>
      </w:r>
      <w:r w:rsidR="00FA2B4E">
        <w:rPr>
          <w:rFonts w:cstheme="minorHAnsi"/>
        </w:rPr>
        <w:t>0.</w:t>
      </w:r>
      <w:r w:rsidR="004D5EDD">
        <w:rPr>
          <w:rFonts w:cstheme="minorHAnsi"/>
        </w:rPr>
        <w:t>3</w:t>
      </w:r>
      <w:r w:rsidR="00FA2B4E">
        <w:rPr>
          <w:rFonts w:cstheme="minorHAnsi"/>
        </w:rPr>
        <w:t xml:space="preserve"> 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 kā plānots.</w:t>
      </w:r>
    </w:p>
    <w:p w14:paraId="409C27EA" w14:textId="410EF6E3" w:rsidR="00AB329C" w:rsidRPr="003D07A2" w:rsidRDefault="00D44D91" w:rsidP="00C06C05">
      <w:pPr>
        <w:spacing w:before="100" w:beforeAutospacing="1" w:after="100" w:afterAutospacing="1"/>
        <w:jc w:val="both"/>
        <w:rPr>
          <w:rFonts w:cstheme="minorHAnsi"/>
        </w:rPr>
      </w:pPr>
      <w:r w:rsidRPr="003D07A2">
        <w:rPr>
          <w:rFonts w:cstheme="minorHAnsi"/>
        </w:rPr>
        <w:t xml:space="preserve">Veselības aprūpes pakalpojumu ieņēmumi </w:t>
      </w:r>
      <w:r w:rsidR="00027DF4" w:rsidRPr="003D07A2">
        <w:rPr>
          <w:rFonts w:cstheme="minorHAnsi"/>
        </w:rPr>
        <w:t xml:space="preserve">ir vairāk kā </w:t>
      </w:r>
      <w:r w:rsidR="00D60DED">
        <w:rPr>
          <w:rFonts w:cstheme="minorHAnsi"/>
        </w:rPr>
        <w:t>7</w:t>
      </w:r>
      <w:r w:rsidR="00B567A8">
        <w:rPr>
          <w:rFonts w:cstheme="minorHAnsi"/>
        </w:rPr>
        <w:t>6</w:t>
      </w:r>
      <w:r w:rsidR="00027DF4" w:rsidRPr="003D07A2">
        <w:rPr>
          <w:rFonts w:cstheme="minorHAnsi"/>
        </w:rPr>
        <w:t xml:space="preserve">% </w:t>
      </w:r>
      <w:r w:rsidRPr="003D07A2">
        <w:rPr>
          <w:rFonts w:cstheme="minorHAnsi"/>
        </w:rPr>
        <w:t xml:space="preserve">no kopējiem Sabiedrības ieņēmumiem, </w:t>
      </w:r>
      <w:r w:rsidR="00FC73ED">
        <w:rPr>
          <w:rFonts w:cstheme="minorHAnsi"/>
        </w:rPr>
        <w:t xml:space="preserve">neskaitot kompensācijas saskaņā ar COVID-19 pandēmiju (piemaksas nodarbinātajiem par darbu uzņemšanas nodaļā, COVID-19 pozitīvu pacientu ārstēšanu, testēšanu). Kompensācijas maksājumi </w:t>
      </w:r>
      <w:r w:rsidR="00021117">
        <w:rPr>
          <w:rFonts w:cstheme="minorHAnsi"/>
        </w:rPr>
        <w:t xml:space="preserve">pārskata periodā </w:t>
      </w:r>
      <w:r w:rsidR="00FC73ED">
        <w:rPr>
          <w:rFonts w:cstheme="minorHAnsi"/>
        </w:rPr>
        <w:t xml:space="preserve">ir </w:t>
      </w:r>
      <w:r w:rsidR="00EF702F">
        <w:rPr>
          <w:rFonts w:cstheme="minorHAnsi"/>
        </w:rPr>
        <w:t>6</w:t>
      </w:r>
      <w:r w:rsidR="00FC73ED">
        <w:rPr>
          <w:rFonts w:cstheme="minorHAnsi"/>
        </w:rPr>
        <w:t xml:space="preserve">% </w:t>
      </w:r>
      <w:r w:rsidR="00E61C0F">
        <w:rPr>
          <w:rFonts w:cstheme="minorHAnsi"/>
        </w:rPr>
        <w:t xml:space="preserve"> (2021.gadā 1</w:t>
      </w:r>
      <w:r w:rsidR="00F42F95">
        <w:rPr>
          <w:rFonts w:cstheme="minorHAnsi"/>
        </w:rPr>
        <w:t>2</w:t>
      </w:r>
      <w:r w:rsidR="00E61C0F">
        <w:rPr>
          <w:rFonts w:cstheme="minorHAnsi"/>
        </w:rPr>
        <w:t xml:space="preserve">%) </w:t>
      </w:r>
      <w:r w:rsidR="00FC73ED">
        <w:rPr>
          <w:rFonts w:cstheme="minorHAnsi"/>
        </w:rPr>
        <w:t>no visiem ieņēmumiem</w:t>
      </w:r>
      <w:r w:rsidR="00021117">
        <w:rPr>
          <w:rFonts w:cstheme="minorHAnsi"/>
        </w:rPr>
        <w:t>.</w:t>
      </w:r>
      <w:r w:rsidR="00FC73ED">
        <w:rPr>
          <w:rFonts w:cstheme="minorHAnsi"/>
        </w:rPr>
        <w:t xml:space="preserve">   </w:t>
      </w:r>
    </w:p>
    <w:p w14:paraId="760898F4" w14:textId="0ACCC857" w:rsidR="007B12D7" w:rsidRPr="003D07A2" w:rsidRDefault="003F5B24" w:rsidP="00C06C05">
      <w:pPr>
        <w:spacing w:before="100" w:beforeAutospacing="1" w:after="100" w:afterAutospacing="1"/>
        <w:jc w:val="center"/>
        <w:rPr>
          <w:rFonts w:cstheme="minorHAnsi"/>
        </w:rPr>
      </w:pPr>
      <w:r w:rsidRPr="003D07A2">
        <w:rPr>
          <w:rFonts w:cstheme="minorHAnsi"/>
          <w:b/>
          <w:bCs/>
        </w:rPr>
        <w:t>Ieņēmumi</w:t>
      </w:r>
      <w:r w:rsidR="002A6BBB" w:rsidRPr="003D07A2">
        <w:rPr>
          <w:rFonts w:cstheme="minorHAnsi"/>
        </w:rPr>
        <w:t xml:space="preserve">, </w:t>
      </w:r>
      <w:proofErr w:type="spellStart"/>
      <w:r w:rsidR="002A6BBB" w:rsidRPr="003D07A2">
        <w:rPr>
          <w:rFonts w:cstheme="minorHAnsi"/>
        </w:rPr>
        <w:t>euro</w:t>
      </w:r>
      <w:proofErr w:type="spellEnd"/>
    </w:p>
    <w:tbl>
      <w:tblPr>
        <w:tblStyle w:val="Reatabula"/>
        <w:tblW w:w="8744" w:type="dxa"/>
        <w:jc w:val="center"/>
        <w:tblLook w:val="04A0" w:firstRow="1" w:lastRow="0" w:firstColumn="1" w:lastColumn="0" w:noHBand="0" w:noVBand="1"/>
      </w:tblPr>
      <w:tblGrid>
        <w:gridCol w:w="2219"/>
        <w:gridCol w:w="1270"/>
        <w:gridCol w:w="1362"/>
        <w:gridCol w:w="1306"/>
        <w:gridCol w:w="1351"/>
        <w:gridCol w:w="1236"/>
      </w:tblGrid>
      <w:tr w:rsidR="002A6BBB" w:rsidRPr="003D07A2" w14:paraId="0D86E087" w14:textId="77777777" w:rsidTr="00FA2AE6">
        <w:trPr>
          <w:trHeight w:val="709"/>
          <w:jc w:val="center"/>
        </w:trPr>
        <w:tc>
          <w:tcPr>
            <w:tcW w:w="2219" w:type="dxa"/>
            <w:vAlign w:val="center"/>
          </w:tcPr>
          <w:p w14:paraId="42E0C519" w14:textId="77777777" w:rsidR="002A6BBB" w:rsidRPr="003D07A2" w:rsidRDefault="002A6BBB" w:rsidP="00B44AF5">
            <w:pPr>
              <w:jc w:val="center"/>
              <w:rPr>
                <w:rFonts w:cstheme="minorHAnsi"/>
              </w:rPr>
            </w:pPr>
            <w:r w:rsidRPr="003D07A2">
              <w:rPr>
                <w:rFonts w:cstheme="minorHAnsi"/>
              </w:rPr>
              <w:t>Pakalpojumu veidi</w:t>
            </w:r>
          </w:p>
        </w:tc>
        <w:tc>
          <w:tcPr>
            <w:tcW w:w="1270" w:type="dxa"/>
            <w:vAlign w:val="center"/>
          </w:tcPr>
          <w:p w14:paraId="43F61EAF" w14:textId="35663C20" w:rsidR="002A6BBB" w:rsidRPr="003D07A2" w:rsidRDefault="0097464D" w:rsidP="00B44AF5">
            <w:pPr>
              <w:jc w:val="center"/>
              <w:rPr>
                <w:rFonts w:cstheme="minorHAnsi"/>
              </w:rPr>
            </w:pPr>
            <w:r w:rsidRPr="003D07A2">
              <w:rPr>
                <w:rFonts w:cstheme="minorHAnsi"/>
              </w:rPr>
              <w:t>20</w:t>
            </w:r>
            <w:r w:rsidR="00021117">
              <w:rPr>
                <w:rFonts w:cstheme="minorHAnsi"/>
              </w:rPr>
              <w:t>2</w:t>
            </w:r>
            <w:r w:rsidR="004A0A94">
              <w:rPr>
                <w:rFonts w:cstheme="minorHAnsi"/>
              </w:rPr>
              <w:t>1</w:t>
            </w:r>
            <w:r w:rsidRPr="003D07A2">
              <w:rPr>
                <w:rFonts w:cstheme="minorHAnsi"/>
              </w:rPr>
              <w:t>.</w:t>
            </w:r>
            <w:r w:rsidR="00B44AF5" w:rsidRPr="003D07A2">
              <w:rPr>
                <w:rFonts w:cstheme="minorHAnsi"/>
              </w:rPr>
              <w:t xml:space="preserve"> </w:t>
            </w:r>
            <w:r w:rsidRPr="003D07A2">
              <w:rPr>
                <w:rFonts w:cstheme="minorHAnsi"/>
              </w:rPr>
              <w:t>gads</w:t>
            </w:r>
          </w:p>
        </w:tc>
        <w:tc>
          <w:tcPr>
            <w:tcW w:w="1362" w:type="dxa"/>
            <w:vAlign w:val="center"/>
          </w:tcPr>
          <w:p w14:paraId="5403E7CE" w14:textId="3AF86F82" w:rsidR="002A6BBB" w:rsidRPr="003D07A2" w:rsidRDefault="002A6BBB" w:rsidP="00B44AF5">
            <w:pPr>
              <w:jc w:val="center"/>
              <w:rPr>
                <w:rFonts w:cstheme="minorHAnsi"/>
              </w:rPr>
            </w:pPr>
            <w:r w:rsidRPr="003D07A2">
              <w:rPr>
                <w:rFonts w:cstheme="minorHAnsi"/>
              </w:rPr>
              <w:t>202</w:t>
            </w:r>
            <w:r w:rsidR="004A0A94">
              <w:rPr>
                <w:rFonts w:cstheme="minorHAnsi"/>
              </w:rPr>
              <w:t>2</w:t>
            </w:r>
            <w:r w:rsidRPr="003D07A2">
              <w:rPr>
                <w:rFonts w:cstheme="minorHAnsi"/>
              </w:rPr>
              <w:t>.g.</w:t>
            </w:r>
            <w:r w:rsidR="00B44AF5" w:rsidRPr="003D07A2">
              <w:rPr>
                <w:rFonts w:cstheme="minorHAnsi"/>
              </w:rPr>
              <w:t xml:space="preserve"> </w:t>
            </w:r>
            <w:r w:rsidRPr="003D07A2">
              <w:rPr>
                <w:rFonts w:cstheme="minorHAnsi"/>
              </w:rPr>
              <w:t>plāns</w:t>
            </w:r>
          </w:p>
        </w:tc>
        <w:tc>
          <w:tcPr>
            <w:tcW w:w="1306" w:type="dxa"/>
            <w:vAlign w:val="center"/>
          </w:tcPr>
          <w:p w14:paraId="34E0A792" w14:textId="46AC8134" w:rsidR="002A6BBB" w:rsidRPr="003D07A2" w:rsidRDefault="002A6BBB" w:rsidP="00B44AF5">
            <w:pPr>
              <w:jc w:val="center"/>
              <w:rPr>
                <w:rFonts w:cstheme="minorHAnsi"/>
              </w:rPr>
            </w:pPr>
            <w:r w:rsidRPr="003D07A2">
              <w:rPr>
                <w:rFonts w:cstheme="minorHAnsi"/>
              </w:rPr>
              <w:t>202</w:t>
            </w:r>
            <w:r w:rsidR="004A0A94">
              <w:rPr>
                <w:rFonts w:cstheme="minorHAnsi"/>
              </w:rPr>
              <w:t>2</w:t>
            </w:r>
            <w:r w:rsidRPr="003D07A2">
              <w:rPr>
                <w:rFonts w:cstheme="minorHAnsi"/>
              </w:rPr>
              <w:t>.g.</w:t>
            </w:r>
            <w:r w:rsidR="00B44AF5" w:rsidRPr="003D07A2">
              <w:rPr>
                <w:rFonts w:cstheme="minorHAnsi"/>
              </w:rPr>
              <w:t xml:space="preserve"> </w:t>
            </w:r>
            <w:r w:rsidRPr="003D07A2">
              <w:rPr>
                <w:rFonts w:cstheme="minorHAnsi"/>
              </w:rPr>
              <w:t>fakts</w:t>
            </w:r>
          </w:p>
        </w:tc>
        <w:tc>
          <w:tcPr>
            <w:tcW w:w="1351" w:type="dxa"/>
            <w:vAlign w:val="center"/>
          </w:tcPr>
          <w:p w14:paraId="29896ECC" w14:textId="1827C632" w:rsidR="002A6BBB" w:rsidRPr="003D07A2" w:rsidRDefault="002A6BBB" w:rsidP="00B44AF5">
            <w:pPr>
              <w:jc w:val="center"/>
              <w:rPr>
                <w:rFonts w:cstheme="minorHAnsi"/>
              </w:rPr>
            </w:pPr>
            <w:r w:rsidRPr="003D07A2">
              <w:rPr>
                <w:rFonts w:cstheme="minorHAnsi"/>
              </w:rPr>
              <w:t>Novirze pret 20</w:t>
            </w:r>
            <w:r w:rsidR="00021117">
              <w:rPr>
                <w:rFonts w:cstheme="minorHAnsi"/>
              </w:rPr>
              <w:t>2</w:t>
            </w:r>
            <w:r w:rsidR="004A0A94">
              <w:rPr>
                <w:rFonts w:cstheme="minorHAnsi"/>
              </w:rPr>
              <w:t>1</w:t>
            </w:r>
            <w:r w:rsidRPr="003D07A2">
              <w:rPr>
                <w:rFonts w:cstheme="minorHAnsi"/>
              </w:rPr>
              <w:t>.g.</w:t>
            </w:r>
          </w:p>
        </w:tc>
        <w:tc>
          <w:tcPr>
            <w:tcW w:w="1236" w:type="dxa"/>
            <w:vAlign w:val="center"/>
          </w:tcPr>
          <w:p w14:paraId="186C4B06" w14:textId="77777777" w:rsidR="002A6BBB" w:rsidRPr="003D07A2" w:rsidRDefault="002A6BBB" w:rsidP="00B44AF5">
            <w:pPr>
              <w:jc w:val="center"/>
              <w:rPr>
                <w:rFonts w:cstheme="minorHAnsi"/>
              </w:rPr>
            </w:pPr>
            <w:r w:rsidRPr="003D07A2">
              <w:rPr>
                <w:rFonts w:cstheme="minorHAnsi"/>
              </w:rPr>
              <w:t>Novirze pret plānu</w:t>
            </w:r>
          </w:p>
        </w:tc>
      </w:tr>
      <w:tr w:rsidR="004A0A94" w:rsidRPr="003D07A2" w14:paraId="1849B81E" w14:textId="77777777" w:rsidTr="00FA2AE6">
        <w:trPr>
          <w:trHeight w:val="488"/>
          <w:jc w:val="center"/>
        </w:trPr>
        <w:tc>
          <w:tcPr>
            <w:tcW w:w="2219" w:type="dxa"/>
          </w:tcPr>
          <w:p w14:paraId="0A604921" w14:textId="7CBB4BB9" w:rsidR="004A0A94" w:rsidRPr="003D07A2" w:rsidRDefault="004A0A94" w:rsidP="004A0A94">
            <w:pPr>
              <w:rPr>
                <w:rFonts w:cstheme="minorHAnsi"/>
              </w:rPr>
            </w:pPr>
            <w:r w:rsidRPr="003D07A2">
              <w:rPr>
                <w:rFonts w:cstheme="minorHAnsi"/>
              </w:rPr>
              <w:t>Stacionārie veselības aprūpes pakalpojumi</w:t>
            </w:r>
            <w:r w:rsidR="008742B1">
              <w:rPr>
                <w:rFonts w:cstheme="minorHAnsi"/>
              </w:rPr>
              <w:t xml:space="preserve"> (</w:t>
            </w:r>
            <w:proofErr w:type="spellStart"/>
            <w:r w:rsidR="008742B1">
              <w:rPr>
                <w:rFonts w:cstheme="minorHAnsi"/>
              </w:rPr>
              <w:t>t.sk.PIK</w:t>
            </w:r>
            <w:proofErr w:type="spellEnd"/>
            <w:r w:rsidR="008742B1">
              <w:rPr>
                <w:rFonts w:cstheme="minorHAnsi"/>
              </w:rPr>
              <w:t>)</w:t>
            </w:r>
          </w:p>
        </w:tc>
        <w:tc>
          <w:tcPr>
            <w:tcW w:w="1270" w:type="dxa"/>
            <w:vAlign w:val="center"/>
          </w:tcPr>
          <w:p w14:paraId="2AE21F4D" w14:textId="53CF73EB" w:rsidR="004A0A94" w:rsidRPr="003D07A2" w:rsidRDefault="008742B1" w:rsidP="004A0A94">
            <w:pPr>
              <w:jc w:val="center"/>
              <w:rPr>
                <w:rFonts w:cstheme="minorHAnsi"/>
              </w:rPr>
            </w:pPr>
            <w:r>
              <w:rPr>
                <w:rFonts w:cstheme="minorHAnsi"/>
              </w:rPr>
              <w:t>4 053 737</w:t>
            </w:r>
          </w:p>
        </w:tc>
        <w:tc>
          <w:tcPr>
            <w:tcW w:w="1362" w:type="dxa"/>
            <w:vAlign w:val="center"/>
          </w:tcPr>
          <w:p w14:paraId="3FD79C2C" w14:textId="119C9D8D" w:rsidR="004A0A94" w:rsidRPr="003D07A2" w:rsidRDefault="00FF18B9" w:rsidP="004A0A94">
            <w:pPr>
              <w:jc w:val="center"/>
              <w:rPr>
                <w:rFonts w:cstheme="minorHAnsi"/>
              </w:rPr>
            </w:pPr>
            <w:r>
              <w:rPr>
                <w:rFonts w:cstheme="minorHAnsi"/>
              </w:rPr>
              <w:t>4 333 156</w:t>
            </w:r>
          </w:p>
        </w:tc>
        <w:tc>
          <w:tcPr>
            <w:tcW w:w="1306" w:type="dxa"/>
            <w:vAlign w:val="center"/>
          </w:tcPr>
          <w:p w14:paraId="4D8F1D99" w14:textId="410E532C" w:rsidR="004A0A94" w:rsidRPr="003D07A2" w:rsidRDefault="009F773B" w:rsidP="004A0A94">
            <w:pPr>
              <w:jc w:val="center"/>
              <w:rPr>
                <w:rFonts w:cstheme="minorHAnsi"/>
              </w:rPr>
            </w:pPr>
            <w:r>
              <w:rPr>
                <w:rFonts w:cstheme="minorHAnsi"/>
              </w:rPr>
              <w:t>4 280 973</w:t>
            </w:r>
          </w:p>
        </w:tc>
        <w:tc>
          <w:tcPr>
            <w:tcW w:w="1351" w:type="dxa"/>
            <w:vAlign w:val="center"/>
          </w:tcPr>
          <w:p w14:paraId="066F59B7" w14:textId="18A5DDFC" w:rsidR="004A0A94" w:rsidRPr="003D07A2" w:rsidRDefault="004E128E" w:rsidP="004A0A94">
            <w:pPr>
              <w:jc w:val="center"/>
              <w:rPr>
                <w:rFonts w:cstheme="minorHAnsi"/>
              </w:rPr>
            </w:pPr>
            <w:r>
              <w:rPr>
                <w:rFonts w:cstheme="minorHAnsi"/>
              </w:rPr>
              <w:t>+</w:t>
            </w:r>
            <w:r w:rsidR="009F773B">
              <w:rPr>
                <w:rFonts w:cstheme="minorHAnsi"/>
              </w:rPr>
              <w:t>227 236</w:t>
            </w:r>
          </w:p>
        </w:tc>
        <w:tc>
          <w:tcPr>
            <w:tcW w:w="1236" w:type="dxa"/>
            <w:vAlign w:val="center"/>
          </w:tcPr>
          <w:p w14:paraId="78D180DE" w14:textId="5B777725" w:rsidR="004A0A94" w:rsidRPr="003D07A2" w:rsidRDefault="004E128E" w:rsidP="004A0A94">
            <w:pPr>
              <w:jc w:val="center"/>
              <w:rPr>
                <w:rFonts w:cstheme="minorHAnsi"/>
              </w:rPr>
            </w:pPr>
            <w:r>
              <w:rPr>
                <w:rFonts w:cstheme="minorHAnsi"/>
              </w:rPr>
              <w:t>-</w:t>
            </w:r>
            <w:r w:rsidR="0063195A">
              <w:rPr>
                <w:rFonts w:cstheme="minorHAnsi"/>
              </w:rPr>
              <w:t>52 183</w:t>
            </w:r>
          </w:p>
        </w:tc>
      </w:tr>
      <w:tr w:rsidR="004A0A94" w:rsidRPr="003D07A2" w14:paraId="15688485" w14:textId="77777777" w:rsidTr="00FA2AE6">
        <w:trPr>
          <w:trHeight w:val="473"/>
          <w:jc w:val="center"/>
        </w:trPr>
        <w:tc>
          <w:tcPr>
            <w:tcW w:w="2219" w:type="dxa"/>
          </w:tcPr>
          <w:p w14:paraId="5F2906ED" w14:textId="5CF8CB01" w:rsidR="004A0A94" w:rsidRPr="003D07A2" w:rsidRDefault="004A0A94" w:rsidP="004A0A94">
            <w:pPr>
              <w:rPr>
                <w:rFonts w:cstheme="minorHAnsi"/>
              </w:rPr>
            </w:pPr>
            <w:r w:rsidRPr="003D07A2">
              <w:rPr>
                <w:rFonts w:cstheme="minorHAnsi"/>
              </w:rPr>
              <w:t>Ambulatorie veselības aprūpes pakalpojumi</w:t>
            </w:r>
            <w:r w:rsidR="008742B1">
              <w:rPr>
                <w:rFonts w:cstheme="minorHAnsi"/>
              </w:rPr>
              <w:t xml:space="preserve"> (</w:t>
            </w:r>
            <w:proofErr w:type="spellStart"/>
            <w:r w:rsidR="008742B1">
              <w:rPr>
                <w:rFonts w:cstheme="minorHAnsi"/>
              </w:rPr>
              <w:t>t.sk.PIK</w:t>
            </w:r>
            <w:proofErr w:type="spellEnd"/>
            <w:r w:rsidR="008742B1">
              <w:rPr>
                <w:rFonts w:cstheme="minorHAnsi"/>
              </w:rPr>
              <w:t>)</w:t>
            </w:r>
          </w:p>
        </w:tc>
        <w:tc>
          <w:tcPr>
            <w:tcW w:w="1270" w:type="dxa"/>
            <w:vAlign w:val="center"/>
          </w:tcPr>
          <w:p w14:paraId="43FB9C7F" w14:textId="4E82D599" w:rsidR="004A0A94" w:rsidRPr="003D07A2" w:rsidRDefault="00752234" w:rsidP="004A0A94">
            <w:pPr>
              <w:jc w:val="center"/>
              <w:rPr>
                <w:rFonts w:cstheme="minorHAnsi"/>
              </w:rPr>
            </w:pPr>
            <w:r>
              <w:rPr>
                <w:rFonts w:cstheme="minorHAnsi"/>
              </w:rPr>
              <w:t>466 164</w:t>
            </w:r>
          </w:p>
        </w:tc>
        <w:tc>
          <w:tcPr>
            <w:tcW w:w="1362" w:type="dxa"/>
            <w:vAlign w:val="center"/>
          </w:tcPr>
          <w:p w14:paraId="26AF8B48" w14:textId="3CA1E506" w:rsidR="004A0A94" w:rsidRPr="003D07A2" w:rsidRDefault="00C314A5" w:rsidP="004A0A94">
            <w:pPr>
              <w:jc w:val="center"/>
              <w:rPr>
                <w:rFonts w:cstheme="minorHAnsi"/>
              </w:rPr>
            </w:pPr>
            <w:r>
              <w:rPr>
                <w:rFonts w:cstheme="minorHAnsi"/>
              </w:rPr>
              <w:t>517 589</w:t>
            </w:r>
          </w:p>
        </w:tc>
        <w:tc>
          <w:tcPr>
            <w:tcW w:w="1306" w:type="dxa"/>
            <w:vAlign w:val="center"/>
          </w:tcPr>
          <w:p w14:paraId="377F0626" w14:textId="1496900F" w:rsidR="004A0A94" w:rsidRPr="003D07A2" w:rsidRDefault="00C45F21" w:rsidP="004A0A94">
            <w:pPr>
              <w:jc w:val="center"/>
              <w:rPr>
                <w:rFonts w:cstheme="minorHAnsi"/>
              </w:rPr>
            </w:pPr>
            <w:r>
              <w:rPr>
                <w:rFonts w:cstheme="minorHAnsi"/>
              </w:rPr>
              <w:t>514 799</w:t>
            </w:r>
          </w:p>
        </w:tc>
        <w:tc>
          <w:tcPr>
            <w:tcW w:w="1351" w:type="dxa"/>
            <w:vAlign w:val="center"/>
          </w:tcPr>
          <w:p w14:paraId="1F1BB41A" w14:textId="4731DDAA" w:rsidR="004A0A94" w:rsidRPr="003D07A2" w:rsidRDefault="00C45F21" w:rsidP="004A0A94">
            <w:pPr>
              <w:jc w:val="center"/>
              <w:rPr>
                <w:rFonts w:cstheme="minorHAnsi"/>
              </w:rPr>
            </w:pPr>
            <w:r>
              <w:rPr>
                <w:rFonts w:cstheme="minorHAnsi"/>
              </w:rPr>
              <w:t>+48 635</w:t>
            </w:r>
          </w:p>
        </w:tc>
        <w:tc>
          <w:tcPr>
            <w:tcW w:w="1236" w:type="dxa"/>
            <w:vAlign w:val="center"/>
          </w:tcPr>
          <w:p w14:paraId="04D90A30" w14:textId="371C5E4C" w:rsidR="004A0A94" w:rsidRPr="003D07A2" w:rsidRDefault="001905D0" w:rsidP="004A0A94">
            <w:pPr>
              <w:jc w:val="center"/>
              <w:rPr>
                <w:rFonts w:cstheme="minorHAnsi"/>
              </w:rPr>
            </w:pPr>
            <w:r>
              <w:rPr>
                <w:rFonts w:cstheme="minorHAnsi"/>
              </w:rPr>
              <w:t>-2790</w:t>
            </w:r>
          </w:p>
        </w:tc>
      </w:tr>
      <w:tr w:rsidR="004A0A94" w:rsidRPr="003D07A2" w14:paraId="6A2FD710" w14:textId="77777777" w:rsidTr="00FA2AE6">
        <w:trPr>
          <w:trHeight w:val="473"/>
          <w:jc w:val="center"/>
        </w:trPr>
        <w:tc>
          <w:tcPr>
            <w:tcW w:w="2219" w:type="dxa"/>
          </w:tcPr>
          <w:p w14:paraId="65B094D1" w14:textId="77777777" w:rsidR="004A0A94" w:rsidRPr="003D07A2" w:rsidRDefault="004A0A94" w:rsidP="004A0A94">
            <w:pPr>
              <w:rPr>
                <w:rFonts w:cstheme="minorHAnsi"/>
              </w:rPr>
            </w:pPr>
            <w:r w:rsidRPr="003D07A2">
              <w:rPr>
                <w:rFonts w:cstheme="minorHAnsi"/>
              </w:rPr>
              <w:t>Sociālā aprūpe un sociālā rehabilitācija</w:t>
            </w:r>
          </w:p>
        </w:tc>
        <w:tc>
          <w:tcPr>
            <w:tcW w:w="1270" w:type="dxa"/>
            <w:vAlign w:val="center"/>
          </w:tcPr>
          <w:p w14:paraId="424A0019" w14:textId="5A64DE5E" w:rsidR="004A0A94" w:rsidRPr="003D07A2" w:rsidRDefault="001905D0" w:rsidP="004A0A94">
            <w:pPr>
              <w:jc w:val="center"/>
              <w:rPr>
                <w:rFonts w:cstheme="minorHAnsi"/>
              </w:rPr>
            </w:pPr>
            <w:r>
              <w:rPr>
                <w:rFonts w:cstheme="minorHAnsi"/>
              </w:rPr>
              <w:t>626 864</w:t>
            </w:r>
          </w:p>
        </w:tc>
        <w:tc>
          <w:tcPr>
            <w:tcW w:w="1362" w:type="dxa"/>
            <w:vAlign w:val="center"/>
          </w:tcPr>
          <w:p w14:paraId="2BF2A7AF" w14:textId="4629A4E2" w:rsidR="004A0A94" w:rsidRPr="003D07A2" w:rsidRDefault="001905D0" w:rsidP="004A0A94">
            <w:pPr>
              <w:jc w:val="center"/>
              <w:rPr>
                <w:rFonts w:cstheme="minorHAnsi"/>
              </w:rPr>
            </w:pPr>
            <w:r>
              <w:rPr>
                <w:rFonts w:cstheme="minorHAnsi"/>
              </w:rPr>
              <w:t>636 553</w:t>
            </w:r>
          </w:p>
        </w:tc>
        <w:tc>
          <w:tcPr>
            <w:tcW w:w="1306" w:type="dxa"/>
            <w:vAlign w:val="center"/>
          </w:tcPr>
          <w:p w14:paraId="1717ADEF" w14:textId="62B2BD53" w:rsidR="004A0A94" w:rsidRPr="003D07A2" w:rsidRDefault="001905D0" w:rsidP="004A0A94">
            <w:pPr>
              <w:jc w:val="center"/>
              <w:rPr>
                <w:rFonts w:cstheme="minorHAnsi"/>
              </w:rPr>
            </w:pPr>
            <w:r>
              <w:rPr>
                <w:rFonts w:cstheme="minorHAnsi"/>
              </w:rPr>
              <w:t>682 398</w:t>
            </w:r>
          </w:p>
        </w:tc>
        <w:tc>
          <w:tcPr>
            <w:tcW w:w="1351" w:type="dxa"/>
            <w:vAlign w:val="center"/>
          </w:tcPr>
          <w:p w14:paraId="027856A3" w14:textId="4B1AEBBC" w:rsidR="004A0A94" w:rsidRPr="003D07A2" w:rsidRDefault="008F70F9" w:rsidP="004A0A94">
            <w:pPr>
              <w:jc w:val="center"/>
              <w:rPr>
                <w:rFonts w:cstheme="minorHAnsi"/>
              </w:rPr>
            </w:pPr>
            <w:r>
              <w:rPr>
                <w:rFonts w:cstheme="minorHAnsi"/>
              </w:rPr>
              <w:t>+</w:t>
            </w:r>
            <w:r w:rsidR="001905D0">
              <w:rPr>
                <w:rFonts w:cstheme="minorHAnsi"/>
              </w:rPr>
              <w:t>55 534</w:t>
            </w:r>
          </w:p>
        </w:tc>
        <w:tc>
          <w:tcPr>
            <w:tcW w:w="1236" w:type="dxa"/>
            <w:vAlign w:val="center"/>
          </w:tcPr>
          <w:p w14:paraId="5DA05027" w14:textId="33F160B2" w:rsidR="004A0A94" w:rsidRPr="003D07A2" w:rsidRDefault="008F70F9" w:rsidP="004A0A94">
            <w:pPr>
              <w:jc w:val="center"/>
              <w:rPr>
                <w:rFonts w:cstheme="minorHAnsi"/>
              </w:rPr>
            </w:pPr>
            <w:r>
              <w:rPr>
                <w:rFonts w:cstheme="minorHAnsi"/>
              </w:rPr>
              <w:t>+</w:t>
            </w:r>
            <w:r w:rsidR="001905D0">
              <w:rPr>
                <w:rFonts w:cstheme="minorHAnsi"/>
              </w:rPr>
              <w:t>45 845</w:t>
            </w:r>
          </w:p>
        </w:tc>
      </w:tr>
      <w:tr w:rsidR="004A0A94" w:rsidRPr="003D07A2" w14:paraId="1DD0F462" w14:textId="77777777" w:rsidTr="00FA2AE6">
        <w:trPr>
          <w:trHeight w:val="473"/>
          <w:jc w:val="center"/>
        </w:trPr>
        <w:tc>
          <w:tcPr>
            <w:tcW w:w="2219" w:type="dxa"/>
          </w:tcPr>
          <w:p w14:paraId="485A6B10" w14:textId="77777777" w:rsidR="004A0A94" w:rsidRPr="003D07A2" w:rsidRDefault="004A0A94" w:rsidP="004A0A94">
            <w:pPr>
              <w:rPr>
                <w:rFonts w:cstheme="minorHAnsi"/>
              </w:rPr>
            </w:pPr>
            <w:r w:rsidRPr="003D07A2">
              <w:rPr>
                <w:rFonts w:cstheme="minorHAnsi"/>
              </w:rPr>
              <w:t>Rezidentu apmācība</w:t>
            </w:r>
          </w:p>
        </w:tc>
        <w:tc>
          <w:tcPr>
            <w:tcW w:w="1270" w:type="dxa"/>
            <w:vAlign w:val="center"/>
          </w:tcPr>
          <w:p w14:paraId="4FCA0E04" w14:textId="15D120AF" w:rsidR="004A0A94" w:rsidRPr="003D07A2" w:rsidRDefault="00B27B1F" w:rsidP="004A0A94">
            <w:pPr>
              <w:jc w:val="center"/>
              <w:rPr>
                <w:rFonts w:cstheme="minorHAnsi"/>
              </w:rPr>
            </w:pPr>
            <w:r>
              <w:rPr>
                <w:rFonts w:cstheme="minorHAnsi"/>
              </w:rPr>
              <w:t>300 535</w:t>
            </w:r>
          </w:p>
        </w:tc>
        <w:tc>
          <w:tcPr>
            <w:tcW w:w="1362" w:type="dxa"/>
            <w:vAlign w:val="center"/>
          </w:tcPr>
          <w:p w14:paraId="15889B0E" w14:textId="7572FE2C" w:rsidR="004A0A94" w:rsidRPr="003D07A2" w:rsidRDefault="00B27B1F" w:rsidP="004A0A94">
            <w:pPr>
              <w:jc w:val="center"/>
              <w:rPr>
                <w:rFonts w:cstheme="minorHAnsi"/>
              </w:rPr>
            </w:pPr>
            <w:r>
              <w:rPr>
                <w:rFonts w:cstheme="minorHAnsi"/>
              </w:rPr>
              <w:t>236 264</w:t>
            </w:r>
          </w:p>
        </w:tc>
        <w:tc>
          <w:tcPr>
            <w:tcW w:w="1306" w:type="dxa"/>
            <w:vAlign w:val="center"/>
          </w:tcPr>
          <w:p w14:paraId="34B11545" w14:textId="24C83B0E" w:rsidR="004A0A94" w:rsidRPr="003D07A2" w:rsidRDefault="00B27B1F" w:rsidP="004A0A94">
            <w:pPr>
              <w:jc w:val="center"/>
              <w:rPr>
                <w:rFonts w:cstheme="minorHAnsi"/>
              </w:rPr>
            </w:pPr>
            <w:r>
              <w:rPr>
                <w:rFonts w:cstheme="minorHAnsi"/>
              </w:rPr>
              <w:t>248 494</w:t>
            </w:r>
          </w:p>
        </w:tc>
        <w:tc>
          <w:tcPr>
            <w:tcW w:w="1351" w:type="dxa"/>
            <w:vAlign w:val="center"/>
          </w:tcPr>
          <w:p w14:paraId="0889BFDA" w14:textId="403DF0C9" w:rsidR="004A0A94" w:rsidRPr="003D07A2" w:rsidRDefault="00A713C0" w:rsidP="004A0A94">
            <w:pPr>
              <w:jc w:val="center"/>
              <w:rPr>
                <w:rFonts w:cstheme="minorHAnsi"/>
              </w:rPr>
            </w:pPr>
            <w:r>
              <w:rPr>
                <w:rFonts w:cstheme="minorHAnsi"/>
              </w:rPr>
              <w:t>-</w:t>
            </w:r>
            <w:r w:rsidR="00B27B1F">
              <w:rPr>
                <w:rFonts w:cstheme="minorHAnsi"/>
              </w:rPr>
              <w:t>52 041</w:t>
            </w:r>
          </w:p>
        </w:tc>
        <w:tc>
          <w:tcPr>
            <w:tcW w:w="1236" w:type="dxa"/>
            <w:vAlign w:val="center"/>
          </w:tcPr>
          <w:p w14:paraId="2791C21F" w14:textId="36E7F731" w:rsidR="004A0A94" w:rsidRPr="003D07A2" w:rsidRDefault="00A713C0" w:rsidP="004A0A94">
            <w:pPr>
              <w:jc w:val="center"/>
              <w:rPr>
                <w:rFonts w:cstheme="minorHAnsi"/>
              </w:rPr>
            </w:pPr>
            <w:r>
              <w:rPr>
                <w:rFonts w:cstheme="minorHAnsi"/>
              </w:rPr>
              <w:t>+</w:t>
            </w:r>
            <w:r w:rsidR="00B27B1F">
              <w:rPr>
                <w:rFonts w:cstheme="minorHAnsi"/>
              </w:rPr>
              <w:t>12 230</w:t>
            </w:r>
          </w:p>
        </w:tc>
      </w:tr>
      <w:tr w:rsidR="004A0A94" w:rsidRPr="003D07A2" w14:paraId="1459C320" w14:textId="77777777" w:rsidTr="00FA2AE6">
        <w:trPr>
          <w:trHeight w:val="473"/>
          <w:jc w:val="center"/>
        </w:trPr>
        <w:tc>
          <w:tcPr>
            <w:tcW w:w="2219" w:type="dxa"/>
          </w:tcPr>
          <w:p w14:paraId="743C1443" w14:textId="77777777" w:rsidR="004A0A94" w:rsidRPr="003D07A2" w:rsidRDefault="004A0A94" w:rsidP="004A0A94">
            <w:pPr>
              <w:rPr>
                <w:rFonts w:cstheme="minorHAnsi"/>
              </w:rPr>
            </w:pPr>
            <w:r w:rsidRPr="003D07A2">
              <w:rPr>
                <w:rFonts w:cstheme="minorHAnsi"/>
              </w:rPr>
              <w:t>Uzņēmuma nopelnītie līdzekļi</w:t>
            </w:r>
          </w:p>
        </w:tc>
        <w:tc>
          <w:tcPr>
            <w:tcW w:w="1270" w:type="dxa"/>
            <w:vAlign w:val="center"/>
          </w:tcPr>
          <w:p w14:paraId="3FE2452D" w14:textId="38C5A299" w:rsidR="004A0A94" w:rsidRPr="003D07A2" w:rsidRDefault="005C7D39" w:rsidP="004A0A94">
            <w:pPr>
              <w:jc w:val="center"/>
              <w:rPr>
                <w:rFonts w:cstheme="minorHAnsi"/>
              </w:rPr>
            </w:pPr>
            <w:r>
              <w:rPr>
                <w:rFonts w:cstheme="minorHAnsi"/>
              </w:rPr>
              <w:t>113 553</w:t>
            </w:r>
          </w:p>
        </w:tc>
        <w:tc>
          <w:tcPr>
            <w:tcW w:w="1362" w:type="dxa"/>
            <w:vAlign w:val="center"/>
          </w:tcPr>
          <w:p w14:paraId="6684AC7B" w14:textId="4183E6A6" w:rsidR="004A0A94" w:rsidRPr="003D07A2" w:rsidRDefault="005C7D39" w:rsidP="004A0A94">
            <w:pPr>
              <w:jc w:val="center"/>
              <w:rPr>
                <w:rFonts w:cstheme="minorHAnsi"/>
              </w:rPr>
            </w:pPr>
            <w:r>
              <w:rPr>
                <w:rFonts w:cstheme="minorHAnsi"/>
              </w:rPr>
              <w:t>107 900</w:t>
            </w:r>
          </w:p>
        </w:tc>
        <w:tc>
          <w:tcPr>
            <w:tcW w:w="1306" w:type="dxa"/>
            <w:vAlign w:val="center"/>
          </w:tcPr>
          <w:p w14:paraId="0AD9E26C" w14:textId="321C3450" w:rsidR="004A0A94" w:rsidRPr="003D07A2" w:rsidRDefault="005C7D39" w:rsidP="004A0A94">
            <w:pPr>
              <w:jc w:val="center"/>
              <w:rPr>
                <w:rFonts w:cstheme="minorHAnsi"/>
              </w:rPr>
            </w:pPr>
            <w:r>
              <w:rPr>
                <w:rFonts w:cstheme="minorHAnsi"/>
              </w:rPr>
              <w:t>120 001</w:t>
            </w:r>
          </w:p>
        </w:tc>
        <w:tc>
          <w:tcPr>
            <w:tcW w:w="1351" w:type="dxa"/>
            <w:vAlign w:val="center"/>
          </w:tcPr>
          <w:p w14:paraId="63D006C0" w14:textId="01D057DF" w:rsidR="004A0A94" w:rsidRPr="003D07A2" w:rsidRDefault="00405BE7" w:rsidP="004A0A94">
            <w:pPr>
              <w:jc w:val="center"/>
              <w:rPr>
                <w:rFonts w:cstheme="minorHAnsi"/>
              </w:rPr>
            </w:pPr>
            <w:r>
              <w:rPr>
                <w:rFonts w:cstheme="minorHAnsi"/>
              </w:rPr>
              <w:t>+</w:t>
            </w:r>
            <w:r w:rsidR="005C7D39">
              <w:rPr>
                <w:rFonts w:cstheme="minorHAnsi"/>
              </w:rPr>
              <w:t>6448</w:t>
            </w:r>
          </w:p>
        </w:tc>
        <w:tc>
          <w:tcPr>
            <w:tcW w:w="1236" w:type="dxa"/>
            <w:vAlign w:val="center"/>
          </w:tcPr>
          <w:p w14:paraId="3E9FD276" w14:textId="5DAEDF94" w:rsidR="004A0A94" w:rsidRPr="003D07A2" w:rsidRDefault="00405BE7" w:rsidP="004A0A94">
            <w:pPr>
              <w:jc w:val="center"/>
              <w:rPr>
                <w:rFonts w:cstheme="minorHAnsi"/>
              </w:rPr>
            </w:pPr>
            <w:r>
              <w:rPr>
                <w:rFonts w:cstheme="minorHAnsi"/>
              </w:rPr>
              <w:t>+</w:t>
            </w:r>
            <w:r w:rsidR="005C7D39">
              <w:rPr>
                <w:rFonts w:cstheme="minorHAnsi"/>
              </w:rPr>
              <w:t>12 101</w:t>
            </w:r>
          </w:p>
        </w:tc>
      </w:tr>
    </w:tbl>
    <w:p w14:paraId="61B996F5" w14:textId="027A64FF" w:rsidR="00DF2D03" w:rsidRPr="003D07A2" w:rsidRDefault="00DF2D03" w:rsidP="003B1EDB">
      <w:pPr>
        <w:spacing w:before="100" w:beforeAutospacing="1" w:after="0"/>
        <w:jc w:val="both"/>
        <w:rPr>
          <w:rFonts w:cstheme="minorHAnsi"/>
        </w:rPr>
      </w:pPr>
      <w:r w:rsidRPr="003D07A2">
        <w:rPr>
          <w:rFonts w:cstheme="minorHAnsi"/>
        </w:rPr>
        <w:t>Ieņēmumu pieaugumu 202</w:t>
      </w:r>
      <w:r w:rsidR="00100A69">
        <w:rPr>
          <w:rFonts w:cstheme="minorHAnsi"/>
        </w:rPr>
        <w:t>2</w:t>
      </w:r>
      <w:r w:rsidRPr="003D07A2">
        <w:rPr>
          <w:rFonts w:cstheme="minorHAnsi"/>
        </w:rPr>
        <w:t>.gadā pārskata periodā</w:t>
      </w:r>
      <w:r w:rsidR="00C76F7C">
        <w:rPr>
          <w:rFonts w:cstheme="minorHAnsi"/>
        </w:rPr>
        <w:t xml:space="preserve"> pamat</w:t>
      </w:r>
      <w:r w:rsidR="000A7392">
        <w:rPr>
          <w:rFonts w:cstheme="minorHAnsi"/>
        </w:rPr>
        <w:t>ā</w:t>
      </w:r>
      <w:r w:rsidR="00C76F7C">
        <w:rPr>
          <w:rFonts w:cstheme="minorHAnsi"/>
        </w:rPr>
        <w:t xml:space="preserve"> ietekmē gatavība</w:t>
      </w:r>
      <w:r w:rsidR="000A7392">
        <w:rPr>
          <w:rFonts w:cstheme="minorHAnsi"/>
        </w:rPr>
        <w:t>s</w:t>
      </w:r>
      <w:r w:rsidR="00C76F7C">
        <w:rPr>
          <w:rFonts w:cstheme="minorHAnsi"/>
        </w:rPr>
        <w:t xml:space="preserve"> režīma </w:t>
      </w:r>
      <w:r w:rsidR="00DB6C58">
        <w:rPr>
          <w:rFonts w:cstheme="minorHAnsi"/>
        </w:rPr>
        <w:t xml:space="preserve">nodrošināšanas </w:t>
      </w:r>
      <w:r w:rsidR="00C76F7C">
        <w:rPr>
          <w:rFonts w:cstheme="minorHAnsi"/>
        </w:rPr>
        <w:t>kompensācijas maksājuma saņemšana par 2021.gada 4.ceturksni, kas iekļauts NVD 2022.gada finanšu paziņojumā un kapitālsabiedrības 2022.gada budžetā.</w:t>
      </w:r>
    </w:p>
    <w:p w14:paraId="04309609" w14:textId="313820D6" w:rsidR="00520ECD" w:rsidRPr="003D07A2" w:rsidRDefault="00520ECD" w:rsidP="00FA2AE6">
      <w:pPr>
        <w:spacing w:before="100" w:beforeAutospacing="1" w:after="100" w:afterAutospacing="1"/>
        <w:jc w:val="both"/>
        <w:rPr>
          <w:rFonts w:cstheme="minorHAnsi"/>
        </w:rPr>
      </w:pPr>
      <w:r w:rsidRPr="003D07A2">
        <w:rPr>
          <w:rFonts w:cstheme="minorHAnsi"/>
        </w:rPr>
        <w:t xml:space="preserve">LM īstenotajās programmās saņemta </w:t>
      </w:r>
      <w:r w:rsidR="00073F64">
        <w:rPr>
          <w:rFonts w:cstheme="minorHAnsi"/>
        </w:rPr>
        <w:t>kompensācija</w:t>
      </w:r>
      <w:r w:rsidRPr="003D07A2">
        <w:rPr>
          <w:rFonts w:cstheme="minorHAnsi"/>
        </w:rPr>
        <w:t xml:space="preserve"> </w:t>
      </w:r>
      <w:r w:rsidR="00073F64">
        <w:rPr>
          <w:rFonts w:cstheme="minorHAnsi"/>
        </w:rPr>
        <w:t>par piemaksām darbiniekiem darbā ar COVID-19 inficētu klientu vai kontaktpersonu</w:t>
      </w:r>
      <w:r w:rsidRPr="003D07A2">
        <w:rPr>
          <w:rFonts w:cstheme="minorHAnsi"/>
        </w:rPr>
        <w:t xml:space="preserve"> </w:t>
      </w:r>
      <w:r w:rsidR="00564D0C" w:rsidRPr="003D07A2">
        <w:rPr>
          <w:rFonts w:cstheme="minorHAnsi"/>
        </w:rPr>
        <w:t xml:space="preserve">ilgstošās sociālās aprūpes un sociālās rehabilitācijas programmā </w:t>
      </w:r>
      <w:r w:rsidR="00712DD6" w:rsidRPr="003D07A2">
        <w:rPr>
          <w:rFonts w:cstheme="minorHAnsi"/>
        </w:rPr>
        <w:t xml:space="preserve">– </w:t>
      </w:r>
      <w:r w:rsidR="00882AA9">
        <w:rPr>
          <w:rFonts w:cstheme="minorHAnsi"/>
        </w:rPr>
        <w:t>26190.12</w:t>
      </w:r>
      <w:r w:rsidR="00564D0C" w:rsidRPr="003D07A2">
        <w:rPr>
          <w:rFonts w:cstheme="minorHAnsi"/>
        </w:rPr>
        <w:t xml:space="preserve"> </w:t>
      </w:r>
      <w:proofErr w:type="spellStart"/>
      <w:r w:rsidR="00564D0C" w:rsidRPr="003D07A2">
        <w:rPr>
          <w:rFonts w:cstheme="minorHAnsi"/>
        </w:rPr>
        <w:t>euro</w:t>
      </w:r>
      <w:proofErr w:type="spellEnd"/>
      <w:r w:rsidR="00073F64">
        <w:rPr>
          <w:rFonts w:cstheme="minorHAnsi"/>
        </w:rPr>
        <w:t>.</w:t>
      </w:r>
    </w:p>
    <w:p w14:paraId="56F88BCB" w14:textId="3E567411" w:rsidR="00564D0C" w:rsidRPr="003D07A2" w:rsidRDefault="00564D0C" w:rsidP="00FA2AE6">
      <w:pPr>
        <w:spacing w:before="100" w:beforeAutospacing="1" w:after="100" w:afterAutospacing="1"/>
        <w:jc w:val="both"/>
        <w:rPr>
          <w:rFonts w:cstheme="minorHAnsi"/>
        </w:rPr>
      </w:pPr>
      <w:r w:rsidRPr="003D07A2">
        <w:rPr>
          <w:rFonts w:cstheme="minorHAnsi"/>
        </w:rPr>
        <w:t xml:space="preserve">Kopējie ieņēmumi no NVD </w:t>
      </w:r>
      <w:r w:rsidR="001629FA" w:rsidRPr="003D07A2">
        <w:rPr>
          <w:rFonts w:cstheme="minorHAnsi"/>
        </w:rPr>
        <w:t>kompensācij</w:t>
      </w:r>
      <w:r w:rsidR="00A924DA">
        <w:rPr>
          <w:rFonts w:cstheme="minorHAnsi"/>
        </w:rPr>
        <w:t>ām</w:t>
      </w:r>
      <w:r w:rsidR="001629FA" w:rsidRPr="003D07A2">
        <w:rPr>
          <w:rFonts w:cstheme="minorHAnsi"/>
        </w:rPr>
        <w:t xml:space="preserve"> par kapitālsabiedrības </w:t>
      </w:r>
      <w:r w:rsidR="00441AC0" w:rsidRPr="003D07A2">
        <w:rPr>
          <w:rFonts w:cstheme="minorHAnsi"/>
        </w:rPr>
        <w:t>virsstundu</w:t>
      </w:r>
      <w:r w:rsidR="00A924DA">
        <w:rPr>
          <w:rFonts w:cstheme="minorHAnsi"/>
        </w:rPr>
        <w:t xml:space="preserve"> darbu</w:t>
      </w:r>
      <w:r w:rsidR="00441AC0" w:rsidRPr="003D07A2">
        <w:rPr>
          <w:rFonts w:cstheme="minorHAnsi"/>
        </w:rPr>
        <w:t xml:space="preserve"> COVID-19 apstākļos</w:t>
      </w:r>
      <w:r w:rsidR="001629FA" w:rsidRPr="003D07A2">
        <w:rPr>
          <w:rFonts w:cstheme="minorHAnsi"/>
        </w:rPr>
        <w:t xml:space="preserve"> – </w:t>
      </w:r>
      <w:r w:rsidR="006E39D8">
        <w:rPr>
          <w:rFonts w:cstheme="minorHAnsi"/>
        </w:rPr>
        <w:t>16426.78</w:t>
      </w:r>
      <w:r w:rsidR="001629FA" w:rsidRPr="003D07A2">
        <w:rPr>
          <w:rFonts w:cstheme="minorHAnsi"/>
        </w:rPr>
        <w:t xml:space="preserve"> </w:t>
      </w:r>
      <w:proofErr w:type="spellStart"/>
      <w:r w:rsidR="001629FA" w:rsidRPr="003D07A2">
        <w:rPr>
          <w:rFonts w:cstheme="minorHAnsi"/>
        </w:rPr>
        <w:t>euro</w:t>
      </w:r>
      <w:proofErr w:type="spellEnd"/>
      <w:r w:rsidR="00441AC0" w:rsidRPr="003D07A2">
        <w:rPr>
          <w:rFonts w:cstheme="minorHAnsi"/>
        </w:rPr>
        <w:t xml:space="preserve">; piemaksas par darbu COVID-19 apstākļos </w:t>
      </w:r>
      <w:r w:rsidR="00073F64">
        <w:rPr>
          <w:rFonts w:cstheme="minorHAnsi"/>
        </w:rPr>
        <w:t>–</w:t>
      </w:r>
      <w:r w:rsidR="00F45722" w:rsidRPr="003D07A2">
        <w:rPr>
          <w:rFonts w:cstheme="minorHAnsi"/>
        </w:rPr>
        <w:t xml:space="preserve"> </w:t>
      </w:r>
      <w:r w:rsidR="00A8533A">
        <w:rPr>
          <w:rFonts w:cstheme="minorHAnsi"/>
        </w:rPr>
        <w:t>329 676.2</w:t>
      </w:r>
      <w:r w:rsidR="001629FA" w:rsidRPr="003D07A2">
        <w:rPr>
          <w:rFonts w:cstheme="minorHAnsi"/>
        </w:rPr>
        <w:t xml:space="preserve"> </w:t>
      </w:r>
      <w:proofErr w:type="spellStart"/>
      <w:r w:rsidR="001629FA" w:rsidRPr="003D07A2">
        <w:rPr>
          <w:rFonts w:cstheme="minorHAnsi"/>
        </w:rPr>
        <w:t>euro</w:t>
      </w:r>
      <w:proofErr w:type="spellEnd"/>
      <w:r w:rsidR="007945B4">
        <w:rPr>
          <w:rFonts w:cstheme="minorHAnsi"/>
        </w:rPr>
        <w:t xml:space="preserve">; atvaļinājuma rezerves kompensācija par 2021.gada </w:t>
      </w:r>
      <w:r w:rsidR="005B3617">
        <w:rPr>
          <w:rFonts w:cstheme="minorHAnsi"/>
        </w:rPr>
        <w:t xml:space="preserve">novembra - decembra mēnesi 11775.24 </w:t>
      </w:r>
      <w:proofErr w:type="spellStart"/>
      <w:r w:rsidR="005B3617">
        <w:rPr>
          <w:rFonts w:cstheme="minorHAnsi"/>
        </w:rPr>
        <w:t>euro</w:t>
      </w:r>
      <w:proofErr w:type="spellEnd"/>
      <w:r w:rsidR="005B3617">
        <w:rPr>
          <w:rFonts w:cstheme="minorHAnsi"/>
        </w:rPr>
        <w:t>.</w:t>
      </w:r>
    </w:p>
    <w:p w14:paraId="64C34A4E" w14:textId="599B7DD3" w:rsidR="00CC2A17" w:rsidRPr="003D07A2" w:rsidRDefault="00260E2C" w:rsidP="00FA2AE6">
      <w:pPr>
        <w:spacing w:before="100" w:beforeAutospacing="1" w:after="100" w:afterAutospacing="1"/>
        <w:jc w:val="both"/>
        <w:rPr>
          <w:rFonts w:cstheme="minorHAnsi"/>
        </w:rPr>
      </w:pPr>
      <w:r w:rsidRPr="003D07A2">
        <w:rPr>
          <w:rFonts w:cstheme="minorHAnsi"/>
        </w:rPr>
        <w:t xml:space="preserve">Sabiedrības pārskata perioda kopējie izdevumi ir vairāk kā </w:t>
      </w:r>
      <w:r w:rsidR="00A74881">
        <w:rPr>
          <w:rFonts w:cstheme="minorHAnsi"/>
        </w:rPr>
        <w:t>5.8</w:t>
      </w:r>
      <w:r w:rsidR="00B05E77" w:rsidRPr="003D07A2">
        <w:rPr>
          <w:rFonts w:cstheme="minorHAnsi"/>
        </w:rPr>
        <w:t xml:space="preserve"> </w:t>
      </w:r>
      <w:r w:rsidRPr="003D07A2">
        <w:rPr>
          <w:rFonts w:cstheme="minorHAnsi"/>
        </w:rPr>
        <w:t xml:space="preserve">miljoni </w:t>
      </w:r>
      <w:proofErr w:type="spellStart"/>
      <w:r w:rsidRPr="003D07A2">
        <w:rPr>
          <w:rFonts w:cstheme="minorHAnsi"/>
        </w:rPr>
        <w:t>euro</w:t>
      </w:r>
      <w:proofErr w:type="spellEnd"/>
      <w:r w:rsidRPr="003D07A2">
        <w:rPr>
          <w:rFonts w:cstheme="minorHAnsi"/>
        </w:rPr>
        <w:t>, salīdzinot ar 20</w:t>
      </w:r>
      <w:r w:rsidR="00781C1D">
        <w:rPr>
          <w:rFonts w:cstheme="minorHAnsi"/>
        </w:rPr>
        <w:t>2</w:t>
      </w:r>
      <w:r w:rsidR="00961829">
        <w:rPr>
          <w:rFonts w:cstheme="minorHAnsi"/>
        </w:rPr>
        <w:t>1</w:t>
      </w:r>
      <w:r w:rsidRPr="003D07A2">
        <w:rPr>
          <w:rFonts w:cstheme="minorHAnsi"/>
        </w:rPr>
        <w:t>.gad</w:t>
      </w:r>
      <w:r w:rsidR="00A2684F" w:rsidRPr="003D07A2">
        <w:rPr>
          <w:rFonts w:cstheme="minorHAnsi"/>
        </w:rPr>
        <w:t>u</w:t>
      </w:r>
      <w:r w:rsidRPr="003D07A2">
        <w:rPr>
          <w:rFonts w:cstheme="minorHAnsi"/>
        </w:rPr>
        <w:t xml:space="preserve">, tas ir par </w:t>
      </w:r>
      <w:r w:rsidR="00781C1D">
        <w:rPr>
          <w:rFonts w:cstheme="minorHAnsi"/>
        </w:rPr>
        <w:t>0.</w:t>
      </w:r>
      <w:r w:rsidR="00D53842">
        <w:rPr>
          <w:rFonts w:cstheme="minorHAnsi"/>
        </w:rPr>
        <w:t>2</w:t>
      </w:r>
      <w:r w:rsidR="00B43CC5" w:rsidRPr="003D07A2">
        <w:rPr>
          <w:rFonts w:cstheme="minorHAnsi"/>
        </w:rPr>
        <w:t xml:space="preserve"> </w:t>
      </w:r>
      <w:proofErr w:type="spellStart"/>
      <w:r w:rsidR="00B43CC5" w:rsidRPr="003D07A2">
        <w:rPr>
          <w:rFonts w:cstheme="minorHAnsi"/>
        </w:rPr>
        <w:t>milj</w:t>
      </w:r>
      <w:proofErr w:type="spellEnd"/>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D53842">
        <w:rPr>
          <w:rFonts w:cstheme="minorHAnsi"/>
        </w:rPr>
        <w:t>mazāk</w:t>
      </w:r>
      <w:r w:rsidR="00F469E9">
        <w:rPr>
          <w:rFonts w:cstheme="minorHAnsi"/>
        </w:rPr>
        <w:t xml:space="preserve"> un</w:t>
      </w:r>
      <w:r w:rsidRPr="003D07A2">
        <w:rPr>
          <w:rFonts w:cstheme="minorHAnsi"/>
        </w:rPr>
        <w:t xml:space="preserve"> par </w:t>
      </w:r>
      <w:r w:rsidR="00F469E9">
        <w:rPr>
          <w:rFonts w:cstheme="minorHAnsi"/>
        </w:rPr>
        <w:t>0.04 milj.</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F469E9">
        <w:rPr>
          <w:rFonts w:cstheme="minorHAnsi"/>
        </w:rPr>
        <w:t>vairāk</w:t>
      </w:r>
      <w:r w:rsidRPr="003D07A2">
        <w:rPr>
          <w:rFonts w:cstheme="minorHAnsi"/>
        </w:rPr>
        <w:t xml:space="preserve"> kā plānots.</w:t>
      </w:r>
    </w:p>
    <w:p w14:paraId="29C25485" w14:textId="154BC0F4" w:rsidR="007B12D7" w:rsidRPr="003D07A2" w:rsidRDefault="00587186" w:rsidP="00FA2AE6">
      <w:pPr>
        <w:spacing w:before="100" w:beforeAutospacing="1" w:after="100" w:afterAutospacing="1"/>
        <w:jc w:val="center"/>
        <w:rPr>
          <w:rFonts w:cstheme="minorHAnsi"/>
        </w:rPr>
      </w:pPr>
      <w:r w:rsidRPr="003D07A2">
        <w:rPr>
          <w:rFonts w:cstheme="minorHAnsi"/>
          <w:b/>
          <w:bCs/>
        </w:rPr>
        <w:t>Izdevumi</w:t>
      </w:r>
      <w:r w:rsidRPr="003D07A2">
        <w:rPr>
          <w:rFonts w:cstheme="minorHAnsi"/>
        </w:rPr>
        <w:t xml:space="preserve">, </w:t>
      </w:r>
      <w:proofErr w:type="spellStart"/>
      <w:r w:rsidRPr="003D07A2">
        <w:rPr>
          <w:rFonts w:cstheme="minorHAnsi"/>
        </w:rPr>
        <w:t>euro</w:t>
      </w:r>
      <w:proofErr w:type="spellEnd"/>
    </w:p>
    <w:tbl>
      <w:tblPr>
        <w:tblStyle w:val="Reatabula"/>
        <w:tblW w:w="0" w:type="auto"/>
        <w:tblLook w:val="04A0" w:firstRow="1" w:lastRow="0" w:firstColumn="1" w:lastColumn="0" w:noHBand="0" w:noVBand="1"/>
      </w:tblPr>
      <w:tblGrid>
        <w:gridCol w:w="2388"/>
        <w:gridCol w:w="1155"/>
        <w:gridCol w:w="1362"/>
        <w:gridCol w:w="1327"/>
        <w:gridCol w:w="1264"/>
        <w:gridCol w:w="999"/>
      </w:tblGrid>
      <w:tr w:rsidR="00271992" w:rsidRPr="003D07A2" w14:paraId="04C8EDA7" w14:textId="77777777" w:rsidTr="00FA2AE6">
        <w:tc>
          <w:tcPr>
            <w:tcW w:w="2388" w:type="dxa"/>
            <w:vAlign w:val="center"/>
          </w:tcPr>
          <w:p w14:paraId="1F314710" w14:textId="77777777" w:rsidR="00271992" w:rsidRPr="003D07A2" w:rsidRDefault="00271992" w:rsidP="00271992">
            <w:pPr>
              <w:jc w:val="center"/>
              <w:rPr>
                <w:rFonts w:cstheme="minorHAnsi"/>
              </w:rPr>
            </w:pPr>
            <w:r w:rsidRPr="003D07A2">
              <w:rPr>
                <w:rFonts w:cstheme="minorHAnsi"/>
              </w:rPr>
              <w:t>Galvenie izdevumu veidi</w:t>
            </w:r>
          </w:p>
        </w:tc>
        <w:tc>
          <w:tcPr>
            <w:tcW w:w="1155" w:type="dxa"/>
            <w:vAlign w:val="center"/>
          </w:tcPr>
          <w:p w14:paraId="407FF4FF" w14:textId="0B9E6942" w:rsidR="00271992" w:rsidRPr="003D07A2" w:rsidRDefault="00271992" w:rsidP="00271992">
            <w:pPr>
              <w:jc w:val="center"/>
              <w:rPr>
                <w:rFonts w:cstheme="minorHAnsi"/>
              </w:rPr>
            </w:pPr>
            <w:r w:rsidRPr="003D07A2">
              <w:rPr>
                <w:rFonts w:cstheme="minorHAnsi"/>
              </w:rPr>
              <w:t>20</w:t>
            </w:r>
            <w:r w:rsidR="00841E84">
              <w:rPr>
                <w:rFonts w:cstheme="minorHAnsi"/>
              </w:rPr>
              <w:t>2</w:t>
            </w:r>
            <w:r w:rsidR="00DD765C">
              <w:rPr>
                <w:rFonts w:cstheme="minorHAnsi"/>
              </w:rPr>
              <w:t>1</w:t>
            </w:r>
            <w:r w:rsidRPr="003D07A2">
              <w:rPr>
                <w:rFonts w:cstheme="minorHAnsi"/>
              </w:rPr>
              <w:t>.gads</w:t>
            </w:r>
          </w:p>
        </w:tc>
        <w:tc>
          <w:tcPr>
            <w:tcW w:w="1362" w:type="dxa"/>
            <w:vAlign w:val="center"/>
          </w:tcPr>
          <w:p w14:paraId="07E6BFB8" w14:textId="351B9167" w:rsidR="00271992" w:rsidRPr="003D07A2" w:rsidRDefault="00271992" w:rsidP="00271992">
            <w:pPr>
              <w:jc w:val="center"/>
              <w:rPr>
                <w:rFonts w:cstheme="minorHAnsi"/>
              </w:rPr>
            </w:pPr>
            <w:r w:rsidRPr="003D07A2">
              <w:rPr>
                <w:rFonts w:cstheme="minorHAnsi"/>
              </w:rPr>
              <w:t>202</w:t>
            </w:r>
            <w:r w:rsidR="00DD765C">
              <w:rPr>
                <w:rFonts w:cstheme="minorHAnsi"/>
              </w:rPr>
              <w:t>2</w:t>
            </w:r>
            <w:r w:rsidRPr="003D07A2">
              <w:rPr>
                <w:rFonts w:cstheme="minorHAnsi"/>
              </w:rPr>
              <w:t>.g.</w:t>
            </w:r>
            <w:r w:rsidR="00B44AF5" w:rsidRPr="003D07A2">
              <w:rPr>
                <w:rFonts w:cstheme="minorHAnsi"/>
              </w:rPr>
              <w:t xml:space="preserve"> </w:t>
            </w:r>
            <w:r w:rsidRPr="003D07A2">
              <w:rPr>
                <w:rFonts w:cstheme="minorHAnsi"/>
              </w:rPr>
              <w:t>plāns</w:t>
            </w:r>
          </w:p>
        </w:tc>
        <w:tc>
          <w:tcPr>
            <w:tcW w:w="1327" w:type="dxa"/>
            <w:vAlign w:val="center"/>
          </w:tcPr>
          <w:p w14:paraId="3A55AA98" w14:textId="6094EE4A" w:rsidR="00271992" w:rsidRPr="003D07A2" w:rsidRDefault="00271992" w:rsidP="00271992">
            <w:pPr>
              <w:jc w:val="center"/>
              <w:rPr>
                <w:rFonts w:cstheme="minorHAnsi"/>
              </w:rPr>
            </w:pPr>
            <w:r w:rsidRPr="003D07A2">
              <w:rPr>
                <w:rFonts w:cstheme="minorHAnsi"/>
              </w:rPr>
              <w:t>202</w:t>
            </w:r>
            <w:r w:rsidR="00DD765C">
              <w:rPr>
                <w:rFonts w:cstheme="minorHAnsi"/>
              </w:rPr>
              <w:t>2</w:t>
            </w:r>
            <w:r w:rsidRPr="003D07A2">
              <w:rPr>
                <w:rFonts w:cstheme="minorHAnsi"/>
              </w:rPr>
              <w:t>.g.</w:t>
            </w:r>
            <w:r w:rsidR="00B44AF5" w:rsidRPr="003D07A2">
              <w:rPr>
                <w:rFonts w:cstheme="minorHAnsi"/>
              </w:rPr>
              <w:t xml:space="preserve"> </w:t>
            </w:r>
            <w:r w:rsidRPr="003D07A2">
              <w:rPr>
                <w:rFonts w:cstheme="minorHAnsi"/>
              </w:rPr>
              <w:t>fakts</w:t>
            </w:r>
          </w:p>
        </w:tc>
        <w:tc>
          <w:tcPr>
            <w:tcW w:w="1264" w:type="dxa"/>
            <w:vAlign w:val="center"/>
          </w:tcPr>
          <w:p w14:paraId="037E5E44" w14:textId="5BCC111E" w:rsidR="00271992" w:rsidRPr="003D07A2" w:rsidRDefault="00271992" w:rsidP="00271992">
            <w:pPr>
              <w:jc w:val="center"/>
              <w:rPr>
                <w:rFonts w:cstheme="minorHAnsi"/>
              </w:rPr>
            </w:pPr>
            <w:r w:rsidRPr="003D07A2">
              <w:rPr>
                <w:rFonts w:cstheme="minorHAnsi"/>
              </w:rPr>
              <w:t>Novirze pret 20</w:t>
            </w:r>
            <w:r w:rsidR="00841E84">
              <w:rPr>
                <w:rFonts w:cstheme="minorHAnsi"/>
              </w:rPr>
              <w:t>2</w:t>
            </w:r>
            <w:r w:rsidR="00DD765C">
              <w:rPr>
                <w:rFonts w:cstheme="minorHAnsi"/>
              </w:rPr>
              <w:t>1</w:t>
            </w:r>
            <w:r w:rsidRPr="003D07A2">
              <w:rPr>
                <w:rFonts w:cstheme="minorHAnsi"/>
              </w:rPr>
              <w:t>.g.</w:t>
            </w:r>
          </w:p>
        </w:tc>
        <w:tc>
          <w:tcPr>
            <w:tcW w:w="999" w:type="dxa"/>
            <w:vAlign w:val="center"/>
          </w:tcPr>
          <w:p w14:paraId="21F31066" w14:textId="77777777" w:rsidR="00271992" w:rsidRPr="003D07A2" w:rsidRDefault="00271992" w:rsidP="00271992">
            <w:pPr>
              <w:jc w:val="center"/>
              <w:rPr>
                <w:rFonts w:cstheme="minorHAnsi"/>
              </w:rPr>
            </w:pPr>
            <w:r w:rsidRPr="003D07A2">
              <w:rPr>
                <w:rFonts w:cstheme="minorHAnsi"/>
              </w:rPr>
              <w:t>Novirze pret plānu</w:t>
            </w:r>
          </w:p>
        </w:tc>
      </w:tr>
      <w:tr w:rsidR="00DD765C" w:rsidRPr="003D07A2" w14:paraId="4F7686DF" w14:textId="77777777" w:rsidTr="00FA2AE6">
        <w:tc>
          <w:tcPr>
            <w:tcW w:w="2388" w:type="dxa"/>
          </w:tcPr>
          <w:p w14:paraId="2B51D5EB" w14:textId="77777777" w:rsidR="00DD765C" w:rsidRPr="003D07A2" w:rsidRDefault="00DD765C" w:rsidP="00DD765C">
            <w:pPr>
              <w:rPr>
                <w:rFonts w:cstheme="minorHAnsi"/>
              </w:rPr>
            </w:pPr>
            <w:r w:rsidRPr="003D07A2">
              <w:rPr>
                <w:rFonts w:cstheme="minorHAnsi"/>
              </w:rPr>
              <w:t>Atalgojums</w:t>
            </w:r>
          </w:p>
        </w:tc>
        <w:tc>
          <w:tcPr>
            <w:tcW w:w="1155" w:type="dxa"/>
            <w:vAlign w:val="center"/>
          </w:tcPr>
          <w:p w14:paraId="7D885F53" w14:textId="3012BE9C" w:rsidR="00DD765C" w:rsidRPr="003D07A2" w:rsidRDefault="00D74172" w:rsidP="00DD765C">
            <w:pPr>
              <w:jc w:val="center"/>
              <w:rPr>
                <w:rFonts w:cstheme="minorHAnsi"/>
              </w:rPr>
            </w:pPr>
            <w:r>
              <w:rPr>
                <w:rFonts w:cstheme="minorHAnsi"/>
              </w:rPr>
              <w:t>4 131 384</w:t>
            </w:r>
          </w:p>
        </w:tc>
        <w:tc>
          <w:tcPr>
            <w:tcW w:w="1362" w:type="dxa"/>
            <w:vAlign w:val="center"/>
          </w:tcPr>
          <w:p w14:paraId="73BDF3E0" w14:textId="0126F9EA" w:rsidR="00DD765C" w:rsidRPr="003D07A2" w:rsidRDefault="00D74172" w:rsidP="00DD765C">
            <w:pPr>
              <w:jc w:val="center"/>
              <w:rPr>
                <w:rFonts w:cstheme="minorHAnsi"/>
              </w:rPr>
            </w:pPr>
            <w:r>
              <w:rPr>
                <w:rFonts w:cstheme="minorHAnsi"/>
              </w:rPr>
              <w:t>3 835 762</w:t>
            </w:r>
          </w:p>
        </w:tc>
        <w:tc>
          <w:tcPr>
            <w:tcW w:w="1327" w:type="dxa"/>
            <w:vAlign w:val="center"/>
          </w:tcPr>
          <w:p w14:paraId="5941DAF9" w14:textId="2F64F417" w:rsidR="00DD765C" w:rsidRPr="003D07A2" w:rsidRDefault="00D74172" w:rsidP="00DD765C">
            <w:pPr>
              <w:jc w:val="center"/>
              <w:rPr>
                <w:rFonts w:cstheme="minorHAnsi"/>
              </w:rPr>
            </w:pPr>
            <w:r>
              <w:rPr>
                <w:rFonts w:cstheme="minorHAnsi"/>
              </w:rPr>
              <w:t>3 839 623</w:t>
            </w:r>
          </w:p>
        </w:tc>
        <w:tc>
          <w:tcPr>
            <w:tcW w:w="1264" w:type="dxa"/>
            <w:vAlign w:val="center"/>
          </w:tcPr>
          <w:p w14:paraId="4E7A7360" w14:textId="5F466B24" w:rsidR="00DD765C" w:rsidRPr="003D07A2" w:rsidRDefault="00DC5A64" w:rsidP="00DD765C">
            <w:pPr>
              <w:jc w:val="center"/>
              <w:rPr>
                <w:rFonts w:cstheme="minorHAnsi"/>
              </w:rPr>
            </w:pPr>
            <w:r>
              <w:rPr>
                <w:rFonts w:cstheme="minorHAnsi"/>
              </w:rPr>
              <w:t>-</w:t>
            </w:r>
            <w:r w:rsidR="004C3A10">
              <w:rPr>
                <w:rFonts w:cstheme="minorHAnsi"/>
              </w:rPr>
              <w:t>291 761</w:t>
            </w:r>
          </w:p>
        </w:tc>
        <w:tc>
          <w:tcPr>
            <w:tcW w:w="999" w:type="dxa"/>
            <w:vAlign w:val="center"/>
          </w:tcPr>
          <w:p w14:paraId="4AA8F973" w14:textId="2A376277" w:rsidR="00DD765C" w:rsidRPr="003D07A2" w:rsidRDefault="00616015" w:rsidP="00DD765C">
            <w:pPr>
              <w:jc w:val="center"/>
              <w:rPr>
                <w:rFonts w:cstheme="minorHAnsi"/>
              </w:rPr>
            </w:pPr>
            <w:r>
              <w:rPr>
                <w:rFonts w:cstheme="minorHAnsi"/>
              </w:rPr>
              <w:t>+</w:t>
            </w:r>
            <w:r w:rsidR="004C3A10">
              <w:rPr>
                <w:rFonts w:cstheme="minorHAnsi"/>
              </w:rPr>
              <w:t>3861</w:t>
            </w:r>
          </w:p>
        </w:tc>
      </w:tr>
      <w:tr w:rsidR="00DD765C" w:rsidRPr="003D07A2" w14:paraId="6AD30082" w14:textId="77777777" w:rsidTr="00FA2AE6">
        <w:tc>
          <w:tcPr>
            <w:tcW w:w="2388" w:type="dxa"/>
          </w:tcPr>
          <w:p w14:paraId="1120E78A" w14:textId="77777777" w:rsidR="00DD765C" w:rsidRPr="003D07A2" w:rsidRDefault="00DD765C" w:rsidP="00DD765C">
            <w:pPr>
              <w:rPr>
                <w:rFonts w:cstheme="minorHAnsi"/>
              </w:rPr>
            </w:pPr>
            <w:r w:rsidRPr="003D07A2">
              <w:rPr>
                <w:rFonts w:cstheme="minorHAnsi"/>
              </w:rPr>
              <w:t>Darba devēja valsts sociālās apdrošināšanas obligātās iemaksas, slimības nauda u.c.</w:t>
            </w:r>
          </w:p>
        </w:tc>
        <w:tc>
          <w:tcPr>
            <w:tcW w:w="1155" w:type="dxa"/>
            <w:vAlign w:val="center"/>
          </w:tcPr>
          <w:p w14:paraId="365F5A65" w14:textId="0DC07941" w:rsidR="00DD765C" w:rsidRPr="003D07A2" w:rsidRDefault="004C3A10" w:rsidP="00DD765C">
            <w:pPr>
              <w:jc w:val="center"/>
              <w:rPr>
                <w:rFonts w:cstheme="minorHAnsi"/>
              </w:rPr>
            </w:pPr>
            <w:r>
              <w:rPr>
                <w:rFonts w:cstheme="minorHAnsi"/>
              </w:rPr>
              <w:t>1 030 335</w:t>
            </w:r>
          </w:p>
        </w:tc>
        <w:tc>
          <w:tcPr>
            <w:tcW w:w="1362" w:type="dxa"/>
            <w:vAlign w:val="center"/>
          </w:tcPr>
          <w:p w14:paraId="031BB68D" w14:textId="6D9F69F9" w:rsidR="00DD765C" w:rsidRPr="003D07A2" w:rsidRDefault="004C3A10" w:rsidP="00DD765C">
            <w:pPr>
              <w:jc w:val="center"/>
              <w:rPr>
                <w:rFonts w:cstheme="minorHAnsi"/>
              </w:rPr>
            </w:pPr>
            <w:r>
              <w:rPr>
                <w:rFonts w:cstheme="minorHAnsi"/>
              </w:rPr>
              <w:t>981 116</w:t>
            </w:r>
          </w:p>
        </w:tc>
        <w:tc>
          <w:tcPr>
            <w:tcW w:w="1327" w:type="dxa"/>
            <w:vAlign w:val="center"/>
          </w:tcPr>
          <w:p w14:paraId="5936FB3D" w14:textId="711A3CFB" w:rsidR="00DD765C" w:rsidRPr="003D07A2" w:rsidRDefault="004C3A10" w:rsidP="00DD765C">
            <w:pPr>
              <w:jc w:val="center"/>
              <w:rPr>
                <w:rFonts w:cstheme="minorHAnsi"/>
              </w:rPr>
            </w:pPr>
            <w:r>
              <w:rPr>
                <w:rFonts w:cstheme="minorHAnsi"/>
              </w:rPr>
              <w:t>1 042 966</w:t>
            </w:r>
          </w:p>
        </w:tc>
        <w:tc>
          <w:tcPr>
            <w:tcW w:w="1264" w:type="dxa"/>
            <w:vAlign w:val="center"/>
          </w:tcPr>
          <w:p w14:paraId="2D513FF6" w14:textId="2CFFE5B1" w:rsidR="00DD765C" w:rsidRPr="003D07A2" w:rsidRDefault="00DC5A64" w:rsidP="00DD765C">
            <w:pPr>
              <w:jc w:val="center"/>
              <w:rPr>
                <w:rFonts w:cstheme="minorHAnsi"/>
              </w:rPr>
            </w:pPr>
            <w:r>
              <w:rPr>
                <w:rFonts w:cstheme="minorHAnsi"/>
              </w:rPr>
              <w:t>+</w:t>
            </w:r>
            <w:r w:rsidR="004C3A10">
              <w:rPr>
                <w:rFonts w:cstheme="minorHAnsi"/>
              </w:rPr>
              <w:t>12 631</w:t>
            </w:r>
          </w:p>
        </w:tc>
        <w:tc>
          <w:tcPr>
            <w:tcW w:w="999" w:type="dxa"/>
            <w:vAlign w:val="center"/>
          </w:tcPr>
          <w:p w14:paraId="210F80F5" w14:textId="510C7A44" w:rsidR="00DD765C" w:rsidRPr="003D07A2" w:rsidRDefault="00BA36ED" w:rsidP="00DD765C">
            <w:pPr>
              <w:jc w:val="center"/>
              <w:rPr>
                <w:rFonts w:cstheme="minorHAnsi"/>
              </w:rPr>
            </w:pPr>
            <w:r>
              <w:rPr>
                <w:rFonts w:cstheme="minorHAnsi"/>
              </w:rPr>
              <w:t>+</w:t>
            </w:r>
            <w:r w:rsidR="00063ED5">
              <w:rPr>
                <w:rFonts w:cstheme="minorHAnsi"/>
              </w:rPr>
              <w:t>61 850</w:t>
            </w:r>
          </w:p>
        </w:tc>
      </w:tr>
      <w:tr w:rsidR="00DD765C" w:rsidRPr="003D07A2" w14:paraId="5819F5E3" w14:textId="77777777" w:rsidTr="00FA2AE6">
        <w:tc>
          <w:tcPr>
            <w:tcW w:w="2388" w:type="dxa"/>
          </w:tcPr>
          <w:p w14:paraId="3BC75C56" w14:textId="77777777" w:rsidR="00DD765C" w:rsidRPr="003D07A2" w:rsidRDefault="00DD765C" w:rsidP="00DD765C">
            <w:pPr>
              <w:rPr>
                <w:rFonts w:cstheme="minorHAnsi"/>
              </w:rPr>
            </w:pPr>
            <w:r w:rsidRPr="003D07A2">
              <w:rPr>
                <w:rFonts w:cstheme="minorHAnsi"/>
              </w:rPr>
              <w:t>Pakalpojumi</w:t>
            </w:r>
          </w:p>
        </w:tc>
        <w:tc>
          <w:tcPr>
            <w:tcW w:w="1155" w:type="dxa"/>
            <w:vAlign w:val="center"/>
          </w:tcPr>
          <w:p w14:paraId="6A2E124D" w14:textId="4A58DD81" w:rsidR="00DD765C" w:rsidRPr="003D07A2" w:rsidRDefault="00063ED5" w:rsidP="00DD765C">
            <w:pPr>
              <w:jc w:val="center"/>
              <w:rPr>
                <w:rFonts w:cstheme="minorHAnsi"/>
              </w:rPr>
            </w:pPr>
            <w:r>
              <w:rPr>
                <w:rFonts w:cstheme="minorHAnsi"/>
              </w:rPr>
              <w:t>214 060</w:t>
            </w:r>
          </w:p>
        </w:tc>
        <w:tc>
          <w:tcPr>
            <w:tcW w:w="1362" w:type="dxa"/>
            <w:vAlign w:val="center"/>
          </w:tcPr>
          <w:p w14:paraId="0481039F" w14:textId="06C22114" w:rsidR="00DD765C" w:rsidRPr="003D07A2" w:rsidRDefault="00063ED5" w:rsidP="00DD765C">
            <w:pPr>
              <w:jc w:val="center"/>
              <w:rPr>
                <w:rFonts w:cstheme="minorHAnsi"/>
              </w:rPr>
            </w:pPr>
            <w:r>
              <w:rPr>
                <w:rFonts w:cstheme="minorHAnsi"/>
              </w:rPr>
              <w:t>281 333</w:t>
            </w:r>
          </w:p>
        </w:tc>
        <w:tc>
          <w:tcPr>
            <w:tcW w:w="1327" w:type="dxa"/>
            <w:vAlign w:val="center"/>
          </w:tcPr>
          <w:p w14:paraId="64749099" w14:textId="4293830F" w:rsidR="00DD765C" w:rsidRPr="003D07A2" w:rsidRDefault="00063ED5" w:rsidP="00DD765C">
            <w:pPr>
              <w:jc w:val="center"/>
              <w:rPr>
                <w:rFonts w:cstheme="minorHAnsi"/>
              </w:rPr>
            </w:pPr>
            <w:r>
              <w:rPr>
                <w:rFonts w:cstheme="minorHAnsi"/>
              </w:rPr>
              <w:t>275 800</w:t>
            </w:r>
          </w:p>
        </w:tc>
        <w:tc>
          <w:tcPr>
            <w:tcW w:w="1264" w:type="dxa"/>
            <w:vAlign w:val="center"/>
          </w:tcPr>
          <w:p w14:paraId="66DC335E" w14:textId="6110FDA5" w:rsidR="00DD765C" w:rsidRPr="003D07A2" w:rsidRDefault="004310DC" w:rsidP="00DD765C">
            <w:pPr>
              <w:jc w:val="center"/>
              <w:rPr>
                <w:rFonts w:cstheme="minorHAnsi"/>
              </w:rPr>
            </w:pPr>
            <w:r>
              <w:rPr>
                <w:rFonts w:cstheme="minorHAnsi"/>
              </w:rPr>
              <w:t>+</w:t>
            </w:r>
            <w:r w:rsidR="00063ED5">
              <w:rPr>
                <w:rFonts w:cstheme="minorHAnsi"/>
              </w:rPr>
              <w:t>61 740</w:t>
            </w:r>
          </w:p>
        </w:tc>
        <w:tc>
          <w:tcPr>
            <w:tcW w:w="999" w:type="dxa"/>
            <w:vAlign w:val="center"/>
          </w:tcPr>
          <w:p w14:paraId="28AB8BAB" w14:textId="512A497D" w:rsidR="00DD765C" w:rsidRPr="003D07A2" w:rsidRDefault="00D10487" w:rsidP="00DD765C">
            <w:pPr>
              <w:jc w:val="center"/>
              <w:rPr>
                <w:rFonts w:cstheme="minorHAnsi"/>
              </w:rPr>
            </w:pPr>
            <w:r>
              <w:rPr>
                <w:rFonts w:cstheme="minorHAnsi"/>
              </w:rPr>
              <w:t>-</w:t>
            </w:r>
            <w:r w:rsidR="00B54B8A">
              <w:rPr>
                <w:rFonts w:cstheme="minorHAnsi"/>
              </w:rPr>
              <w:t>5533</w:t>
            </w:r>
          </w:p>
        </w:tc>
      </w:tr>
      <w:tr w:rsidR="00DD765C" w:rsidRPr="003D07A2" w14:paraId="7362D1BC" w14:textId="77777777" w:rsidTr="00FA2AE6">
        <w:tc>
          <w:tcPr>
            <w:tcW w:w="2388" w:type="dxa"/>
          </w:tcPr>
          <w:p w14:paraId="76FAEC57" w14:textId="77777777" w:rsidR="00DD765C" w:rsidRPr="003D07A2" w:rsidRDefault="00DD765C" w:rsidP="00DD765C">
            <w:pPr>
              <w:rPr>
                <w:rFonts w:cstheme="minorHAnsi"/>
              </w:rPr>
            </w:pPr>
            <w:r w:rsidRPr="003D07A2">
              <w:rPr>
                <w:rFonts w:cstheme="minorHAnsi"/>
              </w:rPr>
              <w:t>Medikamenti, medicīnas preces, dezinfekcijas līdzekļi</w:t>
            </w:r>
          </w:p>
        </w:tc>
        <w:tc>
          <w:tcPr>
            <w:tcW w:w="1155" w:type="dxa"/>
            <w:vAlign w:val="center"/>
          </w:tcPr>
          <w:p w14:paraId="1349AE82" w14:textId="3075D7F8" w:rsidR="00DD765C" w:rsidRPr="003D07A2" w:rsidRDefault="00A17066" w:rsidP="00DD765C">
            <w:pPr>
              <w:jc w:val="center"/>
              <w:rPr>
                <w:rFonts w:cstheme="minorHAnsi"/>
              </w:rPr>
            </w:pPr>
            <w:r>
              <w:rPr>
                <w:rFonts w:cstheme="minorHAnsi"/>
              </w:rPr>
              <w:t>247 220</w:t>
            </w:r>
          </w:p>
        </w:tc>
        <w:tc>
          <w:tcPr>
            <w:tcW w:w="1362" w:type="dxa"/>
            <w:vAlign w:val="center"/>
          </w:tcPr>
          <w:p w14:paraId="0CB87018" w14:textId="79301BB2" w:rsidR="00DD765C" w:rsidRPr="003D07A2" w:rsidRDefault="00A17066" w:rsidP="00DD765C">
            <w:pPr>
              <w:jc w:val="center"/>
              <w:rPr>
                <w:rFonts w:cstheme="minorHAnsi"/>
              </w:rPr>
            </w:pPr>
            <w:r>
              <w:rPr>
                <w:rFonts w:cstheme="minorHAnsi"/>
              </w:rPr>
              <w:t>168 000</w:t>
            </w:r>
          </w:p>
        </w:tc>
        <w:tc>
          <w:tcPr>
            <w:tcW w:w="1327" w:type="dxa"/>
            <w:vAlign w:val="center"/>
          </w:tcPr>
          <w:p w14:paraId="1AB10B68" w14:textId="409C77A0" w:rsidR="00DD765C" w:rsidRPr="003D07A2" w:rsidRDefault="00A17066" w:rsidP="00DD765C">
            <w:pPr>
              <w:jc w:val="center"/>
              <w:rPr>
                <w:rFonts w:cstheme="minorHAnsi"/>
              </w:rPr>
            </w:pPr>
            <w:r>
              <w:rPr>
                <w:rFonts w:cstheme="minorHAnsi"/>
              </w:rPr>
              <w:t>161 233</w:t>
            </w:r>
          </w:p>
        </w:tc>
        <w:tc>
          <w:tcPr>
            <w:tcW w:w="1264" w:type="dxa"/>
            <w:vAlign w:val="center"/>
          </w:tcPr>
          <w:p w14:paraId="150F6196" w14:textId="52497281" w:rsidR="00DD765C" w:rsidRPr="003D07A2" w:rsidRDefault="004310DC" w:rsidP="00DD765C">
            <w:pPr>
              <w:jc w:val="center"/>
              <w:rPr>
                <w:rFonts w:cstheme="minorHAnsi"/>
              </w:rPr>
            </w:pPr>
            <w:r>
              <w:rPr>
                <w:rFonts w:cstheme="minorHAnsi"/>
              </w:rPr>
              <w:t>-</w:t>
            </w:r>
            <w:r w:rsidR="00A17066">
              <w:rPr>
                <w:rFonts w:cstheme="minorHAnsi"/>
              </w:rPr>
              <w:t>85 987</w:t>
            </w:r>
          </w:p>
        </w:tc>
        <w:tc>
          <w:tcPr>
            <w:tcW w:w="999" w:type="dxa"/>
            <w:vAlign w:val="center"/>
          </w:tcPr>
          <w:p w14:paraId="0A1F71F1" w14:textId="48016B76" w:rsidR="00DD765C" w:rsidRPr="003D07A2" w:rsidRDefault="00A17066" w:rsidP="00DD765C">
            <w:pPr>
              <w:jc w:val="center"/>
              <w:rPr>
                <w:rFonts w:cstheme="minorHAnsi"/>
              </w:rPr>
            </w:pPr>
            <w:r>
              <w:rPr>
                <w:rFonts w:cstheme="minorHAnsi"/>
              </w:rPr>
              <w:t>-6767</w:t>
            </w:r>
          </w:p>
        </w:tc>
      </w:tr>
      <w:tr w:rsidR="00DD765C" w:rsidRPr="003D07A2" w14:paraId="70D24B67" w14:textId="77777777" w:rsidTr="00FA2AE6">
        <w:tc>
          <w:tcPr>
            <w:tcW w:w="2388" w:type="dxa"/>
          </w:tcPr>
          <w:p w14:paraId="3115196D" w14:textId="77777777" w:rsidR="00DD765C" w:rsidRPr="003D07A2" w:rsidRDefault="00DD765C" w:rsidP="00DD765C">
            <w:pPr>
              <w:rPr>
                <w:rFonts w:cstheme="minorHAnsi"/>
              </w:rPr>
            </w:pPr>
            <w:r w:rsidRPr="003D07A2">
              <w:rPr>
                <w:rFonts w:cstheme="minorHAnsi"/>
              </w:rPr>
              <w:t>Pārtikas produkti</w:t>
            </w:r>
          </w:p>
        </w:tc>
        <w:tc>
          <w:tcPr>
            <w:tcW w:w="1155" w:type="dxa"/>
            <w:vAlign w:val="center"/>
          </w:tcPr>
          <w:p w14:paraId="117D3574" w14:textId="69ED8D3F" w:rsidR="00DD765C" w:rsidRPr="003D07A2" w:rsidRDefault="00574337" w:rsidP="00DD765C">
            <w:pPr>
              <w:jc w:val="center"/>
              <w:rPr>
                <w:rFonts w:cstheme="minorHAnsi"/>
              </w:rPr>
            </w:pPr>
            <w:r>
              <w:rPr>
                <w:rFonts w:cstheme="minorHAnsi"/>
              </w:rPr>
              <w:t>117 992</w:t>
            </w:r>
          </w:p>
        </w:tc>
        <w:tc>
          <w:tcPr>
            <w:tcW w:w="1362" w:type="dxa"/>
            <w:vAlign w:val="center"/>
          </w:tcPr>
          <w:p w14:paraId="0B78683A" w14:textId="07D96873" w:rsidR="00DD765C" w:rsidRPr="003D07A2" w:rsidRDefault="00574337" w:rsidP="00DD765C">
            <w:pPr>
              <w:jc w:val="center"/>
              <w:rPr>
                <w:rFonts w:cstheme="minorHAnsi"/>
              </w:rPr>
            </w:pPr>
            <w:r>
              <w:rPr>
                <w:rFonts w:cstheme="minorHAnsi"/>
              </w:rPr>
              <w:t>140 413</w:t>
            </w:r>
          </w:p>
        </w:tc>
        <w:tc>
          <w:tcPr>
            <w:tcW w:w="1327" w:type="dxa"/>
            <w:vAlign w:val="center"/>
          </w:tcPr>
          <w:p w14:paraId="25433EAE" w14:textId="4F1F01A8" w:rsidR="00DD765C" w:rsidRPr="003D07A2" w:rsidRDefault="00574337" w:rsidP="00DD765C">
            <w:pPr>
              <w:jc w:val="center"/>
              <w:rPr>
                <w:rFonts w:cstheme="minorHAnsi"/>
              </w:rPr>
            </w:pPr>
            <w:r>
              <w:rPr>
                <w:rFonts w:cstheme="minorHAnsi"/>
              </w:rPr>
              <w:t>142 784</w:t>
            </w:r>
          </w:p>
        </w:tc>
        <w:tc>
          <w:tcPr>
            <w:tcW w:w="1264" w:type="dxa"/>
            <w:vAlign w:val="center"/>
          </w:tcPr>
          <w:p w14:paraId="1FC8693D" w14:textId="674940CE" w:rsidR="00DD765C" w:rsidRPr="003D07A2" w:rsidRDefault="004B54FF" w:rsidP="00DD765C">
            <w:pPr>
              <w:jc w:val="center"/>
              <w:rPr>
                <w:rFonts w:cstheme="minorHAnsi"/>
              </w:rPr>
            </w:pPr>
            <w:r>
              <w:rPr>
                <w:rFonts w:cstheme="minorHAnsi"/>
              </w:rPr>
              <w:t>+</w:t>
            </w:r>
            <w:r w:rsidR="00B61193">
              <w:rPr>
                <w:rFonts w:cstheme="minorHAnsi"/>
              </w:rPr>
              <w:t>24</w:t>
            </w:r>
            <w:r w:rsidR="00491DF2">
              <w:rPr>
                <w:rFonts w:cstheme="minorHAnsi"/>
              </w:rPr>
              <w:t xml:space="preserve"> </w:t>
            </w:r>
            <w:r w:rsidR="00B61193">
              <w:rPr>
                <w:rFonts w:cstheme="minorHAnsi"/>
              </w:rPr>
              <w:t>792</w:t>
            </w:r>
          </w:p>
        </w:tc>
        <w:tc>
          <w:tcPr>
            <w:tcW w:w="999" w:type="dxa"/>
            <w:vAlign w:val="center"/>
          </w:tcPr>
          <w:p w14:paraId="6679FC56" w14:textId="08AF70AF" w:rsidR="00DD765C" w:rsidRPr="003D07A2" w:rsidRDefault="00B61193" w:rsidP="00DD765C">
            <w:pPr>
              <w:jc w:val="center"/>
              <w:rPr>
                <w:rFonts w:cstheme="minorHAnsi"/>
              </w:rPr>
            </w:pPr>
            <w:r>
              <w:rPr>
                <w:rFonts w:cstheme="minorHAnsi"/>
              </w:rPr>
              <w:t>+2371</w:t>
            </w:r>
          </w:p>
        </w:tc>
      </w:tr>
      <w:tr w:rsidR="00DD765C" w:rsidRPr="003D07A2" w14:paraId="34D0448B" w14:textId="77777777" w:rsidTr="00FA2AE6">
        <w:tc>
          <w:tcPr>
            <w:tcW w:w="2388" w:type="dxa"/>
          </w:tcPr>
          <w:p w14:paraId="4EA3984B" w14:textId="77777777" w:rsidR="00DD765C" w:rsidRPr="003D07A2" w:rsidRDefault="00DD765C" w:rsidP="00DD765C">
            <w:pPr>
              <w:rPr>
                <w:rFonts w:cstheme="minorHAnsi"/>
              </w:rPr>
            </w:pPr>
            <w:r w:rsidRPr="003D07A2">
              <w:rPr>
                <w:rFonts w:cstheme="minorHAnsi"/>
              </w:rPr>
              <w:t>Preču un materiālu iegāde</w:t>
            </w:r>
          </w:p>
        </w:tc>
        <w:tc>
          <w:tcPr>
            <w:tcW w:w="1155" w:type="dxa"/>
            <w:vAlign w:val="center"/>
          </w:tcPr>
          <w:p w14:paraId="7516420B" w14:textId="11FEDFB0" w:rsidR="00DD765C" w:rsidRPr="003D07A2" w:rsidRDefault="00BF41C5" w:rsidP="00DD765C">
            <w:pPr>
              <w:jc w:val="center"/>
              <w:rPr>
                <w:rFonts w:cstheme="minorHAnsi"/>
              </w:rPr>
            </w:pPr>
            <w:r>
              <w:rPr>
                <w:rFonts w:cstheme="minorHAnsi"/>
              </w:rPr>
              <w:t>155 964</w:t>
            </w:r>
          </w:p>
        </w:tc>
        <w:tc>
          <w:tcPr>
            <w:tcW w:w="1362" w:type="dxa"/>
            <w:vAlign w:val="center"/>
          </w:tcPr>
          <w:p w14:paraId="71F0A72A" w14:textId="02B2F6AD" w:rsidR="00DD765C" w:rsidRPr="003D07A2" w:rsidRDefault="00A90130" w:rsidP="00DD765C">
            <w:pPr>
              <w:jc w:val="center"/>
              <w:rPr>
                <w:rFonts w:cstheme="minorHAnsi"/>
              </w:rPr>
            </w:pPr>
            <w:r>
              <w:rPr>
                <w:rFonts w:cstheme="minorHAnsi"/>
              </w:rPr>
              <w:t>186 305</w:t>
            </w:r>
          </w:p>
        </w:tc>
        <w:tc>
          <w:tcPr>
            <w:tcW w:w="1327" w:type="dxa"/>
            <w:vAlign w:val="center"/>
          </w:tcPr>
          <w:p w14:paraId="3849EA2C" w14:textId="46F79F2C" w:rsidR="00DD765C" w:rsidRPr="003D07A2" w:rsidRDefault="00A90130" w:rsidP="00DD765C">
            <w:pPr>
              <w:jc w:val="center"/>
              <w:rPr>
                <w:rFonts w:cstheme="minorHAnsi"/>
              </w:rPr>
            </w:pPr>
            <w:r>
              <w:rPr>
                <w:rFonts w:cstheme="minorHAnsi"/>
              </w:rPr>
              <w:t>170 953</w:t>
            </w:r>
          </w:p>
        </w:tc>
        <w:tc>
          <w:tcPr>
            <w:tcW w:w="1264" w:type="dxa"/>
            <w:vAlign w:val="center"/>
          </w:tcPr>
          <w:p w14:paraId="06A973D4" w14:textId="26584A55" w:rsidR="00DD765C" w:rsidRPr="003D07A2" w:rsidRDefault="00A90130" w:rsidP="00DD765C">
            <w:pPr>
              <w:jc w:val="center"/>
              <w:rPr>
                <w:rFonts w:cstheme="minorHAnsi"/>
              </w:rPr>
            </w:pPr>
            <w:r>
              <w:rPr>
                <w:rFonts w:cstheme="minorHAnsi"/>
              </w:rPr>
              <w:t>+</w:t>
            </w:r>
            <w:r w:rsidR="00491DF2">
              <w:rPr>
                <w:rFonts w:cstheme="minorHAnsi"/>
              </w:rPr>
              <w:t>14 989</w:t>
            </w:r>
          </w:p>
        </w:tc>
        <w:tc>
          <w:tcPr>
            <w:tcW w:w="999" w:type="dxa"/>
            <w:vAlign w:val="center"/>
          </w:tcPr>
          <w:p w14:paraId="2DCD3753" w14:textId="40DC878F" w:rsidR="00DD765C" w:rsidRPr="003D07A2" w:rsidRDefault="006354B0" w:rsidP="00DD765C">
            <w:pPr>
              <w:jc w:val="center"/>
              <w:rPr>
                <w:rFonts w:cstheme="minorHAnsi"/>
              </w:rPr>
            </w:pPr>
            <w:r>
              <w:rPr>
                <w:rFonts w:cstheme="minorHAnsi"/>
              </w:rPr>
              <w:t>-</w:t>
            </w:r>
            <w:r w:rsidR="00491DF2">
              <w:rPr>
                <w:rFonts w:cstheme="minorHAnsi"/>
              </w:rPr>
              <w:t>15 352</w:t>
            </w:r>
          </w:p>
        </w:tc>
      </w:tr>
      <w:tr w:rsidR="00DD765C" w:rsidRPr="003D07A2" w14:paraId="5EF22AB4" w14:textId="77777777" w:rsidTr="00FA2AE6">
        <w:tc>
          <w:tcPr>
            <w:tcW w:w="2388" w:type="dxa"/>
          </w:tcPr>
          <w:p w14:paraId="34E256B9" w14:textId="77777777" w:rsidR="00DD765C" w:rsidRPr="003D07A2" w:rsidRDefault="00DD765C" w:rsidP="00DD765C">
            <w:pPr>
              <w:rPr>
                <w:rFonts w:cstheme="minorHAnsi"/>
              </w:rPr>
            </w:pPr>
            <w:r w:rsidRPr="003D07A2">
              <w:rPr>
                <w:rFonts w:cstheme="minorHAnsi"/>
              </w:rPr>
              <w:t>Ilgtermiņa ieguldījumu nolietojums</w:t>
            </w:r>
          </w:p>
        </w:tc>
        <w:tc>
          <w:tcPr>
            <w:tcW w:w="1155" w:type="dxa"/>
            <w:vAlign w:val="center"/>
          </w:tcPr>
          <w:p w14:paraId="6A25C2F5" w14:textId="78D92539" w:rsidR="00DD765C" w:rsidRPr="003D07A2" w:rsidRDefault="00FF399A" w:rsidP="00DD765C">
            <w:pPr>
              <w:jc w:val="center"/>
              <w:rPr>
                <w:rFonts w:cstheme="minorHAnsi"/>
              </w:rPr>
            </w:pPr>
            <w:r>
              <w:rPr>
                <w:rFonts w:cstheme="minorHAnsi"/>
              </w:rPr>
              <w:t>121 595</w:t>
            </w:r>
          </w:p>
        </w:tc>
        <w:tc>
          <w:tcPr>
            <w:tcW w:w="1362" w:type="dxa"/>
            <w:vAlign w:val="center"/>
          </w:tcPr>
          <w:p w14:paraId="45B52358" w14:textId="01164F69" w:rsidR="00DD765C" w:rsidRPr="003D07A2" w:rsidRDefault="00FF399A" w:rsidP="00DD765C">
            <w:pPr>
              <w:jc w:val="center"/>
              <w:rPr>
                <w:rFonts w:cstheme="minorHAnsi"/>
              </w:rPr>
            </w:pPr>
            <w:r>
              <w:rPr>
                <w:rFonts w:cstheme="minorHAnsi"/>
              </w:rPr>
              <w:t>136 280</w:t>
            </w:r>
          </w:p>
        </w:tc>
        <w:tc>
          <w:tcPr>
            <w:tcW w:w="1327" w:type="dxa"/>
            <w:vAlign w:val="center"/>
          </w:tcPr>
          <w:p w14:paraId="5119C7DA" w14:textId="362803F6" w:rsidR="00DD765C" w:rsidRPr="003D07A2" w:rsidRDefault="00FF399A" w:rsidP="00DD765C">
            <w:pPr>
              <w:jc w:val="center"/>
              <w:rPr>
                <w:rFonts w:cstheme="minorHAnsi"/>
              </w:rPr>
            </w:pPr>
            <w:r>
              <w:rPr>
                <w:rFonts w:cstheme="minorHAnsi"/>
              </w:rPr>
              <w:t>135 264</w:t>
            </w:r>
          </w:p>
        </w:tc>
        <w:tc>
          <w:tcPr>
            <w:tcW w:w="1264" w:type="dxa"/>
            <w:vAlign w:val="center"/>
          </w:tcPr>
          <w:p w14:paraId="6514CAB6" w14:textId="0A0578DC" w:rsidR="00DD765C" w:rsidRPr="003D07A2" w:rsidRDefault="004B54FF" w:rsidP="00DD765C">
            <w:pPr>
              <w:jc w:val="center"/>
              <w:rPr>
                <w:rFonts w:cstheme="minorHAnsi"/>
              </w:rPr>
            </w:pPr>
            <w:r>
              <w:rPr>
                <w:rFonts w:cstheme="minorHAnsi"/>
              </w:rPr>
              <w:t>+</w:t>
            </w:r>
            <w:r w:rsidR="00897D71">
              <w:rPr>
                <w:rFonts w:cstheme="minorHAnsi"/>
              </w:rPr>
              <w:t>13 669</w:t>
            </w:r>
          </w:p>
        </w:tc>
        <w:tc>
          <w:tcPr>
            <w:tcW w:w="999" w:type="dxa"/>
            <w:vAlign w:val="center"/>
          </w:tcPr>
          <w:p w14:paraId="69B1A41F" w14:textId="7E3C940F" w:rsidR="00DD765C" w:rsidRPr="003D07A2" w:rsidRDefault="009F137A" w:rsidP="00DD765C">
            <w:pPr>
              <w:jc w:val="center"/>
              <w:rPr>
                <w:rFonts w:cstheme="minorHAnsi"/>
              </w:rPr>
            </w:pPr>
            <w:r>
              <w:rPr>
                <w:rFonts w:cstheme="minorHAnsi"/>
              </w:rPr>
              <w:t>-</w:t>
            </w:r>
            <w:r w:rsidR="00897D71">
              <w:rPr>
                <w:rFonts w:cstheme="minorHAnsi"/>
              </w:rPr>
              <w:t>1016</w:t>
            </w:r>
          </w:p>
        </w:tc>
      </w:tr>
    </w:tbl>
    <w:p w14:paraId="0D0A09DA" w14:textId="17A85ADC" w:rsidR="003D5327" w:rsidRPr="003D07A2" w:rsidRDefault="003D5327" w:rsidP="00FA2AE6">
      <w:pPr>
        <w:spacing w:before="100" w:beforeAutospacing="1" w:after="100" w:afterAutospacing="1"/>
        <w:jc w:val="both"/>
        <w:rPr>
          <w:rFonts w:cstheme="minorHAnsi"/>
        </w:rPr>
      </w:pPr>
      <w:r w:rsidRPr="003D07A2">
        <w:rPr>
          <w:rFonts w:cstheme="minorHAnsi"/>
        </w:rPr>
        <w:t>202</w:t>
      </w:r>
      <w:r w:rsidR="00367A28">
        <w:rPr>
          <w:rFonts w:cstheme="minorHAnsi"/>
        </w:rPr>
        <w:t>2</w:t>
      </w:r>
      <w:r w:rsidRPr="003D07A2">
        <w:rPr>
          <w:rFonts w:cstheme="minorHAnsi"/>
        </w:rPr>
        <w:t>.gad</w:t>
      </w:r>
      <w:r w:rsidR="00606377" w:rsidRPr="003D07A2">
        <w:rPr>
          <w:rFonts w:cstheme="minorHAnsi"/>
        </w:rPr>
        <w:t>ā</w:t>
      </w:r>
      <w:r w:rsidR="007E68E3">
        <w:rPr>
          <w:rFonts w:cstheme="minorHAnsi"/>
        </w:rPr>
        <w:t xml:space="preserve"> nav palielināts </w:t>
      </w:r>
      <w:r w:rsidRPr="003D07A2">
        <w:rPr>
          <w:rFonts w:cstheme="minorHAnsi"/>
        </w:rPr>
        <w:t>atalgojums veselības aprūpes</w:t>
      </w:r>
      <w:r w:rsidR="00606377" w:rsidRPr="003D07A2">
        <w:rPr>
          <w:rFonts w:cstheme="minorHAnsi"/>
        </w:rPr>
        <w:t xml:space="preserve"> </w:t>
      </w:r>
      <w:r w:rsidRPr="003D07A2">
        <w:rPr>
          <w:rFonts w:cstheme="minorHAnsi"/>
        </w:rPr>
        <w:t xml:space="preserve">nodarbinātajiem, </w:t>
      </w:r>
      <w:r w:rsidR="007E68E3">
        <w:rPr>
          <w:rFonts w:cstheme="minorHAnsi"/>
        </w:rPr>
        <w:t xml:space="preserve">izņemot rezidentu darba samaksu, </w:t>
      </w:r>
      <w:r w:rsidR="00FC13A1">
        <w:rPr>
          <w:rFonts w:cstheme="minorHAnsi"/>
        </w:rPr>
        <w:t xml:space="preserve">un </w:t>
      </w:r>
      <w:r w:rsidRPr="003D07A2">
        <w:rPr>
          <w:rFonts w:cstheme="minorHAnsi"/>
        </w:rPr>
        <w:t xml:space="preserve">uzņēmuma faktiskajos izdevumos </w:t>
      </w:r>
      <w:r w:rsidR="00FC13A1">
        <w:rPr>
          <w:rFonts w:cstheme="minorHAnsi"/>
        </w:rPr>
        <w:t>kopējais atalgojuma</w:t>
      </w:r>
      <w:r w:rsidRPr="003D07A2">
        <w:rPr>
          <w:rFonts w:cstheme="minorHAnsi"/>
        </w:rPr>
        <w:t xml:space="preserve"> īpatsvars ir </w:t>
      </w:r>
      <w:r w:rsidR="00FC13A1">
        <w:rPr>
          <w:rFonts w:cstheme="minorHAnsi"/>
        </w:rPr>
        <w:t xml:space="preserve"> 65.</w:t>
      </w:r>
      <w:r w:rsidR="002E35F5">
        <w:rPr>
          <w:rFonts w:cstheme="minorHAnsi"/>
        </w:rPr>
        <w:t>9</w:t>
      </w:r>
      <w:r w:rsidR="00FC13A1">
        <w:rPr>
          <w:rFonts w:cstheme="minorHAnsi"/>
        </w:rPr>
        <w:t>%,</w:t>
      </w:r>
      <w:r w:rsidR="003C24D1">
        <w:rPr>
          <w:rFonts w:cstheme="minorHAnsi"/>
        </w:rPr>
        <w:t xml:space="preserve"> 202</w:t>
      </w:r>
      <w:r w:rsidR="002E35F5">
        <w:rPr>
          <w:rFonts w:cstheme="minorHAnsi"/>
        </w:rPr>
        <w:t>1</w:t>
      </w:r>
      <w:r w:rsidR="003C24D1">
        <w:rPr>
          <w:rFonts w:cstheme="minorHAnsi"/>
        </w:rPr>
        <w:t>.</w:t>
      </w:r>
      <w:r w:rsidR="00604722">
        <w:rPr>
          <w:rFonts w:cstheme="minorHAnsi"/>
        </w:rPr>
        <w:t xml:space="preserve"> un 2020.</w:t>
      </w:r>
      <w:r w:rsidR="003C24D1">
        <w:rPr>
          <w:rFonts w:cstheme="minorHAnsi"/>
        </w:rPr>
        <w:t>gada salīdzināmajā periodā -</w:t>
      </w:r>
      <w:r w:rsidRPr="003D07A2">
        <w:rPr>
          <w:rFonts w:cstheme="minorHAnsi"/>
        </w:rPr>
        <w:t>6</w:t>
      </w:r>
      <w:r w:rsidR="00763307">
        <w:rPr>
          <w:rFonts w:cstheme="minorHAnsi"/>
        </w:rPr>
        <w:t>8</w:t>
      </w:r>
      <w:r w:rsidRPr="003D07A2">
        <w:rPr>
          <w:rFonts w:cstheme="minorHAnsi"/>
        </w:rPr>
        <w:t>%, 20</w:t>
      </w:r>
      <w:r w:rsidR="00EE5C93">
        <w:rPr>
          <w:rFonts w:cstheme="minorHAnsi"/>
        </w:rPr>
        <w:t>19</w:t>
      </w:r>
      <w:r w:rsidRPr="003D07A2">
        <w:rPr>
          <w:rFonts w:cstheme="minorHAnsi"/>
        </w:rPr>
        <w:t>.gada salīdzināmajā periodā -</w:t>
      </w:r>
      <w:r w:rsidR="00F45722" w:rsidRPr="003D07A2">
        <w:rPr>
          <w:rFonts w:cstheme="minorHAnsi"/>
        </w:rPr>
        <w:t xml:space="preserve"> </w:t>
      </w:r>
      <w:r w:rsidRPr="003D07A2">
        <w:rPr>
          <w:rFonts w:cstheme="minorHAnsi"/>
        </w:rPr>
        <w:t>64</w:t>
      </w:r>
      <w:r w:rsidR="00563197" w:rsidRPr="003D07A2">
        <w:rPr>
          <w:rFonts w:cstheme="minorHAnsi"/>
        </w:rPr>
        <w:t>.</w:t>
      </w:r>
      <w:r w:rsidR="00EE5C93">
        <w:rPr>
          <w:rFonts w:cstheme="minorHAnsi"/>
        </w:rPr>
        <w:t>2</w:t>
      </w:r>
      <w:r w:rsidRPr="003D07A2">
        <w:rPr>
          <w:rFonts w:cstheme="minorHAnsi"/>
        </w:rPr>
        <w:t xml:space="preserve">%. </w:t>
      </w:r>
    </w:p>
    <w:p w14:paraId="55289AFA" w14:textId="68880CB5" w:rsidR="001D2AFE" w:rsidRPr="00DB6C58" w:rsidRDefault="001D2AFE" w:rsidP="00FA2AE6">
      <w:pPr>
        <w:spacing w:before="100" w:beforeAutospacing="1" w:after="100" w:afterAutospacing="1"/>
        <w:jc w:val="both"/>
        <w:rPr>
          <w:rFonts w:cstheme="minorHAnsi"/>
        </w:rPr>
      </w:pPr>
      <w:r w:rsidRPr="00DB6C58">
        <w:rPr>
          <w:rFonts w:cstheme="minorHAnsi"/>
        </w:rPr>
        <w:t xml:space="preserve">Sabiedrības pārskata perioda saimnieciskās darbības rezultāts ir </w:t>
      </w:r>
      <w:r w:rsidR="00B74136" w:rsidRPr="00DB6C58">
        <w:rPr>
          <w:rFonts w:cstheme="minorHAnsi"/>
        </w:rPr>
        <w:t>peļņa</w:t>
      </w:r>
      <w:r w:rsidRPr="00DB6C58">
        <w:rPr>
          <w:rFonts w:cstheme="minorHAnsi"/>
        </w:rPr>
        <w:t xml:space="preserve"> </w:t>
      </w:r>
      <w:r w:rsidR="00731075">
        <w:rPr>
          <w:rFonts w:cstheme="minorHAnsi"/>
        </w:rPr>
        <w:t xml:space="preserve">467 650 </w:t>
      </w:r>
      <w:proofErr w:type="spellStart"/>
      <w:r w:rsidR="00731075">
        <w:rPr>
          <w:rFonts w:cstheme="minorHAnsi"/>
        </w:rPr>
        <w:t>euro</w:t>
      </w:r>
      <w:proofErr w:type="spellEnd"/>
      <w:r w:rsidR="00904E6B">
        <w:rPr>
          <w:rFonts w:cstheme="minorHAnsi"/>
        </w:rPr>
        <w:t xml:space="preserve"> </w:t>
      </w:r>
      <w:r w:rsidR="00731075">
        <w:rPr>
          <w:rFonts w:cstheme="minorHAnsi"/>
        </w:rPr>
        <w:t>(</w:t>
      </w:r>
      <w:r w:rsidR="00547A3E">
        <w:rPr>
          <w:rFonts w:cstheme="minorHAnsi"/>
        </w:rPr>
        <w:t>salīdzinoši</w:t>
      </w:r>
      <w:r w:rsidR="00731075">
        <w:rPr>
          <w:rFonts w:cstheme="minorHAnsi"/>
        </w:rPr>
        <w:t xml:space="preserve"> 2022.gada </w:t>
      </w:r>
      <w:r w:rsidR="0044777C">
        <w:rPr>
          <w:rFonts w:cstheme="minorHAnsi"/>
        </w:rPr>
        <w:t xml:space="preserve">1.cet. peļņa </w:t>
      </w:r>
      <w:r w:rsidR="00A06E8B" w:rsidRPr="00DB6C58">
        <w:rPr>
          <w:rFonts w:cstheme="minorHAnsi"/>
        </w:rPr>
        <w:t>260 493</w:t>
      </w:r>
      <w:r w:rsidRPr="00DB6C58">
        <w:rPr>
          <w:rFonts w:cstheme="minorHAnsi"/>
        </w:rPr>
        <w:t xml:space="preserve"> </w:t>
      </w:r>
      <w:proofErr w:type="spellStart"/>
      <w:r w:rsidRPr="00DB6C58">
        <w:rPr>
          <w:rFonts w:cstheme="minorHAnsi"/>
        </w:rPr>
        <w:t>euro</w:t>
      </w:r>
      <w:proofErr w:type="spellEnd"/>
      <w:r w:rsidR="0044777C">
        <w:rPr>
          <w:rFonts w:cstheme="minorHAnsi"/>
        </w:rPr>
        <w:t xml:space="preserve"> ; 2.cet. peļņa </w:t>
      </w:r>
      <w:r w:rsidR="00904E6B">
        <w:rPr>
          <w:rFonts w:cstheme="minorHAnsi"/>
        </w:rPr>
        <w:t xml:space="preserve">207 157 </w:t>
      </w:r>
      <w:proofErr w:type="spellStart"/>
      <w:r w:rsidR="00904E6B">
        <w:rPr>
          <w:rFonts w:cstheme="minorHAnsi"/>
        </w:rPr>
        <w:t>euro</w:t>
      </w:r>
      <w:proofErr w:type="spellEnd"/>
      <w:r w:rsidR="00904E6B">
        <w:rPr>
          <w:rFonts w:cstheme="minorHAnsi"/>
        </w:rPr>
        <w:t>)</w:t>
      </w:r>
      <w:r w:rsidRPr="00DB6C58">
        <w:rPr>
          <w:rFonts w:cstheme="minorHAnsi"/>
        </w:rPr>
        <w:t>, 20</w:t>
      </w:r>
      <w:r w:rsidR="008558D6" w:rsidRPr="00DB6C58">
        <w:rPr>
          <w:rFonts w:cstheme="minorHAnsi"/>
        </w:rPr>
        <w:t>2</w:t>
      </w:r>
      <w:r w:rsidR="00A06E8B" w:rsidRPr="00DB6C58">
        <w:rPr>
          <w:rFonts w:cstheme="minorHAnsi"/>
        </w:rPr>
        <w:t>1</w:t>
      </w:r>
      <w:r w:rsidRPr="00DB6C58">
        <w:rPr>
          <w:rFonts w:cstheme="minorHAnsi"/>
        </w:rPr>
        <w:t>.gad</w:t>
      </w:r>
      <w:r w:rsidR="00B74136" w:rsidRPr="00DB6C58">
        <w:rPr>
          <w:rFonts w:cstheme="minorHAnsi"/>
        </w:rPr>
        <w:t>ā</w:t>
      </w:r>
      <w:r w:rsidRPr="00DB6C58">
        <w:rPr>
          <w:rFonts w:cstheme="minorHAnsi"/>
        </w:rPr>
        <w:t xml:space="preserve"> peļņa </w:t>
      </w:r>
      <w:r w:rsidR="008558D6" w:rsidRPr="00DB6C58">
        <w:rPr>
          <w:rFonts w:cstheme="minorHAnsi"/>
        </w:rPr>
        <w:t xml:space="preserve">ir </w:t>
      </w:r>
      <w:r w:rsidR="00904E6B">
        <w:rPr>
          <w:rFonts w:cstheme="minorHAnsi"/>
        </w:rPr>
        <w:t>335 941</w:t>
      </w:r>
      <w:r w:rsidR="008558D6" w:rsidRPr="00DB6C58">
        <w:rPr>
          <w:rFonts w:cstheme="minorHAnsi"/>
        </w:rPr>
        <w:t xml:space="preserve"> </w:t>
      </w:r>
      <w:proofErr w:type="spellStart"/>
      <w:r w:rsidRPr="00DB6C58">
        <w:rPr>
          <w:rFonts w:cstheme="minorHAnsi"/>
        </w:rPr>
        <w:t>euro</w:t>
      </w:r>
      <w:proofErr w:type="spellEnd"/>
      <w:r w:rsidRPr="00DB6C58">
        <w:rPr>
          <w:rFonts w:cstheme="minorHAnsi"/>
        </w:rPr>
        <w:t xml:space="preserve">, bet plāns – peļņa </w:t>
      </w:r>
      <w:r w:rsidR="00904E6B">
        <w:rPr>
          <w:rFonts w:cstheme="minorHAnsi"/>
        </w:rPr>
        <w:t>90 411</w:t>
      </w:r>
      <w:r w:rsidRPr="00DB6C58">
        <w:rPr>
          <w:rFonts w:cstheme="minorHAnsi"/>
        </w:rPr>
        <w:t xml:space="preserve"> </w:t>
      </w:r>
      <w:proofErr w:type="spellStart"/>
      <w:r w:rsidRPr="00DB6C58">
        <w:rPr>
          <w:rFonts w:cstheme="minorHAnsi"/>
        </w:rPr>
        <w:t>euro</w:t>
      </w:r>
      <w:proofErr w:type="spellEnd"/>
      <w:r w:rsidRPr="00DB6C58">
        <w:rPr>
          <w:rFonts w:cstheme="minorHAnsi"/>
        </w:rPr>
        <w:t>.</w:t>
      </w:r>
    </w:p>
    <w:p w14:paraId="11CE5E29" w14:textId="1CFAEF05" w:rsidR="00B74136" w:rsidRPr="003D07A2" w:rsidRDefault="00B74136" w:rsidP="00FA2AE6">
      <w:pPr>
        <w:spacing w:before="100" w:beforeAutospacing="1" w:after="100" w:afterAutospacing="1"/>
        <w:jc w:val="both"/>
        <w:rPr>
          <w:rFonts w:cstheme="minorHAnsi"/>
        </w:rPr>
      </w:pPr>
      <w:r w:rsidRPr="00DB6C58">
        <w:rPr>
          <w:rFonts w:cstheme="minorHAnsi"/>
        </w:rPr>
        <w:t>Salīdzinot 202</w:t>
      </w:r>
      <w:r w:rsidR="00947B67" w:rsidRPr="00DB6C58">
        <w:rPr>
          <w:rFonts w:cstheme="minorHAnsi"/>
        </w:rPr>
        <w:t>2</w:t>
      </w:r>
      <w:r w:rsidRPr="00DB6C58">
        <w:rPr>
          <w:rFonts w:cstheme="minorHAnsi"/>
        </w:rPr>
        <w:t xml:space="preserve">.gadu ar iepriekšējo periodu, var secināt, ka </w:t>
      </w:r>
      <w:r w:rsidR="00BB4C3C">
        <w:rPr>
          <w:rFonts w:cstheme="minorHAnsi"/>
        </w:rPr>
        <w:t>nav</w:t>
      </w:r>
      <w:r w:rsidRPr="00DB6C58">
        <w:rPr>
          <w:rFonts w:cstheme="minorHAnsi"/>
        </w:rPr>
        <w:t xml:space="preserve"> būtiskas novirzes bruto pelņas rādītājā </w:t>
      </w:r>
      <w:r w:rsidR="00A34111" w:rsidRPr="00DB6C58">
        <w:rPr>
          <w:rFonts w:cstheme="minorHAnsi"/>
        </w:rPr>
        <w:t>(</w:t>
      </w:r>
      <w:r w:rsidRPr="00DB6C58">
        <w:rPr>
          <w:rFonts w:cstheme="minorHAnsi"/>
        </w:rPr>
        <w:t xml:space="preserve"> 202</w:t>
      </w:r>
      <w:r w:rsidR="00947B67" w:rsidRPr="00DB6C58">
        <w:rPr>
          <w:rFonts w:cstheme="minorHAnsi"/>
        </w:rPr>
        <w:t>2</w:t>
      </w:r>
      <w:r w:rsidRPr="00DB6C58">
        <w:rPr>
          <w:rFonts w:cstheme="minorHAnsi"/>
        </w:rPr>
        <w:t xml:space="preserve">.gadā </w:t>
      </w:r>
      <w:r w:rsidR="00BB4C3C">
        <w:rPr>
          <w:rFonts w:cstheme="minorHAnsi"/>
        </w:rPr>
        <w:t>732 805</w:t>
      </w:r>
      <w:r w:rsidRPr="00DB6C58">
        <w:rPr>
          <w:rFonts w:cstheme="minorHAnsi"/>
        </w:rPr>
        <w:t xml:space="preserve"> </w:t>
      </w:r>
      <w:proofErr w:type="spellStart"/>
      <w:r w:rsidRPr="00DB6C58">
        <w:rPr>
          <w:rFonts w:cstheme="minorHAnsi"/>
        </w:rPr>
        <w:t>euro</w:t>
      </w:r>
      <w:proofErr w:type="spellEnd"/>
      <w:r w:rsidRPr="00DB6C58">
        <w:rPr>
          <w:rFonts w:cstheme="minorHAnsi"/>
        </w:rPr>
        <w:t>, 20</w:t>
      </w:r>
      <w:r w:rsidR="008558D6" w:rsidRPr="00DB6C58">
        <w:rPr>
          <w:rFonts w:cstheme="minorHAnsi"/>
        </w:rPr>
        <w:t>2</w:t>
      </w:r>
      <w:r w:rsidR="00947B67" w:rsidRPr="00DB6C58">
        <w:rPr>
          <w:rFonts w:cstheme="minorHAnsi"/>
        </w:rPr>
        <w:t>1</w:t>
      </w:r>
      <w:r w:rsidRPr="00DB6C58">
        <w:rPr>
          <w:rFonts w:cstheme="minorHAnsi"/>
        </w:rPr>
        <w:t xml:space="preserve">.gadā </w:t>
      </w:r>
      <w:r w:rsidR="00BB4C3C">
        <w:rPr>
          <w:rFonts w:cstheme="minorHAnsi"/>
        </w:rPr>
        <w:t>619 020</w:t>
      </w:r>
      <w:r w:rsidR="00A34111" w:rsidRPr="00DB6C58">
        <w:rPr>
          <w:rFonts w:cstheme="minorHAnsi"/>
        </w:rPr>
        <w:t xml:space="preserve"> </w:t>
      </w:r>
      <w:proofErr w:type="spellStart"/>
      <w:r w:rsidR="00A34111" w:rsidRPr="00DB6C58">
        <w:rPr>
          <w:rFonts w:cstheme="minorHAnsi"/>
        </w:rPr>
        <w:t>euro</w:t>
      </w:r>
      <w:proofErr w:type="spellEnd"/>
      <w:r w:rsidR="00A34111" w:rsidRPr="00DB6C58">
        <w:rPr>
          <w:rFonts w:cstheme="minorHAnsi"/>
        </w:rPr>
        <w:t>).</w:t>
      </w:r>
      <w:r w:rsidR="00947B67" w:rsidRPr="00DB6C58">
        <w:rPr>
          <w:rFonts w:cstheme="minorHAnsi"/>
        </w:rPr>
        <w:t xml:space="preserve"> </w:t>
      </w:r>
      <w:r w:rsidR="005B10C0">
        <w:rPr>
          <w:rFonts w:cstheme="minorHAnsi"/>
        </w:rPr>
        <w:t>Bruto peļņas</w:t>
      </w:r>
      <w:r w:rsidR="00D65665">
        <w:rPr>
          <w:rFonts w:cstheme="minorHAnsi"/>
        </w:rPr>
        <w:t xml:space="preserve"> pārskata perioda</w:t>
      </w:r>
      <w:r w:rsidR="005B10C0">
        <w:rPr>
          <w:rFonts w:cstheme="minorHAnsi"/>
        </w:rPr>
        <w:t xml:space="preserve"> </w:t>
      </w:r>
      <w:r w:rsidR="00D65665">
        <w:rPr>
          <w:rFonts w:cstheme="minorHAnsi"/>
        </w:rPr>
        <w:t xml:space="preserve">prognoze būtiski atšķiras no izpildes </w:t>
      </w:r>
      <w:r w:rsidR="00383E06">
        <w:rPr>
          <w:rFonts w:cstheme="minorHAnsi"/>
        </w:rPr>
        <w:t xml:space="preserve">(+336 043 </w:t>
      </w:r>
      <w:proofErr w:type="spellStart"/>
      <w:r w:rsidR="00383E06">
        <w:rPr>
          <w:rFonts w:cstheme="minorHAnsi"/>
        </w:rPr>
        <w:t>euro</w:t>
      </w:r>
      <w:proofErr w:type="spellEnd"/>
      <w:r w:rsidR="00383E06">
        <w:rPr>
          <w:rFonts w:cstheme="minorHAnsi"/>
        </w:rPr>
        <w:t xml:space="preserve">), </w:t>
      </w:r>
      <w:r w:rsidR="00DD4037">
        <w:rPr>
          <w:rFonts w:cstheme="minorHAnsi"/>
        </w:rPr>
        <w:t>t</w:t>
      </w:r>
      <w:r w:rsidR="00383E06">
        <w:rPr>
          <w:rFonts w:cstheme="minorHAnsi"/>
        </w:rPr>
        <w:t>as saistīts ar</w:t>
      </w:r>
      <w:r w:rsidR="00A45F64">
        <w:rPr>
          <w:rFonts w:cstheme="minorHAnsi"/>
        </w:rPr>
        <w:t xml:space="preserve"> darbinieku</w:t>
      </w:r>
      <w:r w:rsidR="00383E06">
        <w:rPr>
          <w:rFonts w:cstheme="minorHAnsi"/>
        </w:rPr>
        <w:t xml:space="preserve"> </w:t>
      </w:r>
      <w:r w:rsidR="0091354A">
        <w:rPr>
          <w:rFonts w:cstheme="minorHAnsi"/>
        </w:rPr>
        <w:t>faktisk</w:t>
      </w:r>
      <w:r w:rsidR="00DD4037">
        <w:rPr>
          <w:rFonts w:cstheme="minorHAnsi"/>
        </w:rPr>
        <w:t>i izmaksāto</w:t>
      </w:r>
      <w:r w:rsidR="0091354A">
        <w:rPr>
          <w:rFonts w:cstheme="minorHAnsi"/>
        </w:rPr>
        <w:t xml:space="preserve"> mēneša </w:t>
      </w:r>
      <w:r w:rsidR="00A45F64">
        <w:rPr>
          <w:rFonts w:cstheme="minorHAnsi"/>
        </w:rPr>
        <w:t>amatalgas apmēr</w:t>
      </w:r>
      <w:r w:rsidR="00670399">
        <w:rPr>
          <w:rFonts w:cstheme="minorHAnsi"/>
        </w:rPr>
        <w:t>u</w:t>
      </w:r>
      <w:r w:rsidR="00DD4037">
        <w:rPr>
          <w:rFonts w:cstheme="minorHAnsi"/>
        </w:rPr>
        <w:t xml:space="preserve">, kas ir </w:t>
      </w:r>
      <w:r w:rsidR="0045635D">
        <w:rPr>
          <w:rFonts w:cstheme="minorHAnsi"/>
        </w:rPr>
        <w:t>mazāks kā sākotnēji plānots darbinieku saslimstības dēļ.</w:t>
      </w:r>
      <w:r w:rsidR="00DD4037">
        <w:rPr>
          <w:rFonts w:cstheme="minorHAnsi"/>
        </w:rPr>
        <w:t xml:space="preserve"> </w:t>
      </w:r>
    </w:p>
    <w:p w14:paraId="38067670" w14:textId="071A282F" w:rsidR="005F5952" w:rsidRPr="00267BEC" w:rsidRDefault="005F5952" w:rsidP="00FA2AE6">
      <w:pPr>
        <w:spacing w:before="100" w:beforeAutospacing="1" w:after="100" w:afterAutospacing="1"/>
        <w:jc w:val="both"/>
        <w:rPr>
          <w:rFonts w:cstheme="minorHAnsi"/>
        </w:rPr>
      </w:pPr>
      <w:r w:rsidRPr="00267BEC">
        <w:rPr>
          <w:rFonts w:cstheme="minorHAnsi"/>
        </w:rPr>
        <w:t xml:space="preserve">Sabiedrības naudas plūsmā naudas līdzekļu atlikums pārskata perioda beigās </w:t>
      </w:r>
      <w:r w:rsidR="00120223">
        <w:rPr>
          <w:rFonts w:cstheme="minorHAnsi"/>
        </w:rPr>
        <w:t>palielinājies</w:t>
      </w:r>
      <w:r w:rsidRPr="00267BEC">
        <w:rPr>
          <w:rFonts w:cstheme="minorHAnsi"/>
        </w:rPr>
        <w:t xml:space="preserve"> par </w:t>
      </w:r>
      <w:r w:rsidR="00B2244B">
        <w:rPr>
          <w:rFonts w:cstheme="minorHAnsi"/>
        </w:rPr>
        <w:t>215976</w:t>
      </w:r>
      <w:r w:rsidR="002E41B5" w:rsidRPr="00267BEC">
        <w:rPr>
          <w:rFonts w:cstheme="minorHAnsi"/>
        </w:rPr>
        <w:t xml:space="preserve"> </w:t>
      </w:r>
      <w:proofErr w:type="spellStart"/>
      <w:r w:rsidRPr="00267BEC">
        <w:rPr>
          <w:rFonts w:cstheme="minorHAnsi"/>
        </w:rPr>
        <w:t>euro</w:t>
      </w:r>
      <w:proofErr w:type="spellEnd"/>
      <w:r w:rsidRPr="00267BEC">
        <w:rPr>
          <w:rFonts w:cstheme="minorHAnsi"/>
        </w:rPr>
        <w:t xml:space="preserve"> , salīdzinot ar </w:t>
      </w:r>
      <w:r w:rsidR="00AB5B66" w:rsidRPr="00267BEC">
        <w:rPr>
          <w:rFonts w:cstheme="minorHAnsi"/>
        </w:rPr>
        <w:t>202</w:t>
      </w:r>
      <w:r w:rsidR="00A83697" w:rsidRPr="00267BEC">
        <w:rPr>
          <w:rFonts w:cstheme="minorHAnsi"/>
        </w:rPr>
        <w:t>2</w:t>
      </w:r>
      <w:r w:rsidR="00AB5B66" w:rsidRPr="00267BEC">
        <w:rPr>
          <w:rFonts w:cstheme="minorHAnsi"/>
        </w:rPr>
        <w:t>.gada</w:t>
      </w:r>
      <w:r w:rsidRPr="00267BEC">
        <w:rPr>
          <w:rFonts w:cstheme="minorHAnsi"/>
        </w:rPr>
        <w:t xml:space="preserve"> sākumu, bet pret plānu novirze par </w:t>
      </w:r>
      <w:r w:rsidR="00B2244B">
        <w:rPr>
          <w:rFonts w:cstheme="minorHAnsi"/>
        </w:rPr>
        <w:t>382 391</w:t>
      </w:r>
      <w:r w:rsidRPr="00267BEC">
        <w:rPr>
          <w:rFonts w:cstheme="minorHAnsi"/>
        </w:rPr>
        <w:t xml:space="preserve"> </w:t>
      </w:r>
      <w:proofErr w:type="spellStart"/>
      <w:r w:rsidRPr="00267BEC">
        <w:rPr>
          <w:rFonts w:cstheme="minorHAnsi"/>
        </w:rPr>
        <w:t>euro</w:t>
      </w:r>
      <w:proofErr w:type="spellEnd"/>
      <w:r w:rsidRPr="00267BEC">
        <w:rPr>
          <w:rFonts w:cstheme="minorHAnsi"/>
        </w:rPr>
        <w:t xml:space="preserve"> (plānots </w:t>
      </w:r>
      <w:r w:rsidR="00B23D81" w:rsidRPr="00267BEC">
        <w:rPr>
          <w:rFonts w:cstheme="minorHAnsi"/>
        </w:rPr>
        <w:t>1</w:t>
      </w:r>
      <w:r w:rsidR="00B2244B">
        <w:rPr>
          <w:rFonts w:cstheme="minorHAnsi"/>
        </w:rPr>
        <w:t> 702 655</w:t>
      </w:r>
      <w:r w:rsidR="00B23D81" w:rsidRPr="00267BEC">
        <w:rPr>
          <w:rFonts w:cstheme="minorHAnsi"/>
        </w:rPr>
        <w:t xml:space="preserve"> </w:t>
      </w:r>
      <w:proofErr w:type="spellStart"/>
      <w:r w:rsidRPr="00267BEC">
        <w:rPr>
          <w:rFonts w:cstheme="minorHAnsi"/>
        </w:rPr>
        <w:t>euro</w:t>
      </w:r>
      <w:proofErr w:type="spellEnd"/>
      <w:r w:rsidRPr="00267BEC">
        <w:rPr>
          <w:rFonts w:cstheme="minorHAnsi"/>
        </w:rPr>
        <w:t>)</w:t>
      </w:r>
      <w:r w:rsidR="002E41B5" w:rsidRPr="00267BEC">
        <w:rPr>
          <w:rFonts w:cstheme="minorHAnsi"/>
        </w:rPr>
        <w:t>.</w:t>
      </w:r>
      <w:r w:rsidR="00520EE7" w:rsidRPr="00267BEC">
        <w:rPr>
          <w:rFonts w:cstheme="minorHAnsi"/>
        </w:rPr>
        <w:t xml:space="preserve"> Salīdzinot ar 202</w:t>
      </w:r>
      <w:r w:rsidR="007F5165" w:rsidRPr="00267BEC">
        <w:rPr>
          <w:rFonts w:cstheme="minorHAnsi"/>
        </w:rPr>
        <w:t>1</w:t>
      </w:r>
      <w:r w:rsidR="00520EE7" w:rsidRPr="00267BEC">
        <w:rPr>
          <w:rFonts w:cstheme="minorHAnsi"/>
        </w:rPr>
        <w:t xml:space="preserve">.gada pārskata periodu </w:t>
      </w:r>
      <w:r w:rsidR="007F5165" w:rsidRPr="00267BEC">
        <w:rPr>
          <w:rFonts w:cstheme="minorHAnsi"/>
        </w:rPr>
        <w:t>samazinājušies</w:t>
      </w:r>
      <w:r w:rsidR="00520EE7" w:rsidRPr="00267BEC">
        <w:rPr>
          <w:rFonts w:cstheme="minorHAnsi"/>
        </w:rPr>
        <w:t xml:space="preserve"> debitoru parādi (</w:t>
      </w:r>
      <w:r w:rsidR="00C15E5E" w:rsidRPr="00267BEC">
        <w:rPr>
          <w:rFonts w:cstheme="minorHAnsi"/>
        </w:rPr>
        <w:t>-</w:t>
      </w:r>
      <w:r w:rsidR="00530C9C">
        <w:rPr>
          <w:rFonts w:cstheme="minorHAnsi"/>
        </w:rPr>
        <w:t>236 321</w:t>
      </w:r>
      <w:r w:rsidR="002E5B69" w:rsidRPr="00267BEC">
        <w:rPr>
          <w:rFonts w:cstheme="minorHAnsi"/>
        </w:rPr>
        <w:t xml:space="preserve"> </w:t>
      </w:r>
      <w:proofErr w:type="spellStart"/>
      <w:r w:rsidR="00520EE7" w:rsidRPr="00267BEC">
        <w:rPr>
          <w:rFonts w:cstheme="minorHAnsi"/>
        </w:rPr>
        <w:t>euro</w:t>
      </w:r>
      <w:proofErr w:type="spellEnd"/>
      <w:r w:rsidR="00520EE7" w:rsidRPr="00267BEC">
        <w:rPr>
          <w:rFonts w:cstheme="minorHAnsi"/>
        </w:rPr>
        <w:t>), ko pamatā veido norēķini ar NVD par sniegtajiem veselības aprūpes pakalpojumiem un aprēķinātie kompensācijas maksājumi.</w:t>
      </w:r>
    </w:p>
    <w:p w14:paraId="6AFA8B50" w14:textId="46F97D02" w:rsidR="005F5952" w:rsidRPr="003D07A2" w:rsidRDefault="005F5952" w:rsidP="00FA2AE6">
      <w:pPr>
        <w:spacing w:before="100" w:beforeAutospacing="1" w:after="100" w:afterAutospacing="1"/>
        <w:jc w:val="both"/>
        <w:rPr>
          <w:rFonts w:cstheme="minorHAnsi"/>
        </w:rPr>
      </w:pPr>
      <w:r w:rsidRPr="00267BEC">
        <w:rPr>
          <w:rFonts w:cstheme="minorHAnsi"/>
        </w:rPr>
        <w:t>Plānot</w:t>
      </w:r>
      <w:r w:rsidR="00C35EA7" w:rsidRPr="00267BEC">
        <w:rPr>
          <w:rFonts w:cstheme="minorHAnsi"/>
        </w:rPr>
        <w:t>ais</w:t>
      </w:r>
      <w:r w:rsidRPr="00267BEC">
        <w:rPr>
          <w:rFonts w:cstheme="minorHAnsi"/>
        </w:rPr>
        <w:t xml:space="preserve"> kopēj</w:t>
      </w:r>
      <w:r w:rsidR="00C35EA7" w:rsidRPr="00267BEC">
        <w:rPr>
          <w:rFonts w:cstheme="minorHAnsi"/>
        </w:rPr>
        <w:t xml:space="preserve">ais </w:t>
      </w:r>
      <w:r w:rsidRPr="00267BEC">
        <w:rPr>
          <w:rFonts w:cstheme="minorHAnsi"/>
        </w:rPr>
        <w:t>likviditāte</w:t>
      </w:r>
      <w:r w:rsidR="00C35EA7" w:rsidRPr="00267BEC">
        <w:rPr>
          <w:rFonts w:cstheme="minorHAnsi"/>
        </w:rPr>
        <w:t>s rādītājs</w:t>
      </w:r>
      <w:r w:rsidRPr="00267BEC">
        <w:rPr>
          <w:rFonts w:cstheme="minorHAnsi"/>
        </w:rPr>
        <w:t xml:space="preserve"> pārskata periodā ir</w:t>
      </w:r>
      <w:r w:rsidR="00C06C05" w:rsidRPr="00267BEC">
        <w:rPr>
          <w:rFonts w:cstheme="minorHAnsi"/>
        </w:rPr>
        <w:t xml:space="preserve"> </w:t>
      </w:r>
      <w:r w:rsidR="00530C9C">
        <w:rPr>
          <w:rFonts w:cstheme="minorHAnsi"/>
        </w:rPr>
        <w:t>1.67</w:t>
      </w:r>
      <w:r w:rsidRPr="00267BEC">
        <w:rPr>
          <w:rFonts w:cstheme="minorHAnsi"/>
        </w:rPr>
        <w:t xml:space="preserve">, </w:t>
      </w:r>
      <w:r w:rsidR="00C35EA7" w:rsidRPr="00267BEC">
        <w:rPr>
          <w:rFonts w:cstheme="minorHAnsi"/>
        </w:rPr>
        <w:t>20</w:t>
      </w:r>
      <w:r w:rsidR="00520EE7" w:rsidRPr="00267BEC">
        <w:rPr>
          <w:rFonts w:cstheme="minorHAnsi"/>
        </w:rPr>
        <w:t>2</w:t>
      </w:r>
      <w:r w:rsidR="002E5B69" w:rsidRPr="00267BEC">
        <w:rPr>
          <w:rFonts w:cstheme="minorHAnsi"/>
        </w:rPr>
        <w:t>1</w:t>
      </w:r>
      <w:r w:rsidR="00C35EA7" w:rsidRPr="00267BEC">
        <w:rPr>
          <w:rFonts w:cstheme="minorHAnsi"/>
        </w:rPr>
        <w:t>.gad</w:t>
      </w:r>
      <w:r w:rsidR="00A1190D" w:rsidRPr="00267BEC">
        <w:rPr>
          <w:rFonts w:cstheme="minorHAnsi"/>
        </w:rPr>
        <w:t>ā</w:t>
      </w:r>
      <w:r w:rsidR="00C35EA7" w:rsidRPr="00267BEC">
        <w:rPr>
          <w:rFonts w:cstheme="minorHAnsi"/>
        </w:rPr>
        <w:t xml:space="preserve"> – 1.</w:t>
      </w:r>
      <w:r w:rsidR="00530C9C">
        <w:rPr>
          <w:rFonts w:cstheme="minorHAnsi"/>
        </w:rPr>
        <w:t>52</w:t>
      </w:r>
      <w:r w:rsidR="00C35EA7" w:rsidRPr="00267BEC">
        <w:rPr>
          <w:rFonts w:cstheme="minorHAnsi"/>
        </w:rPr>
        <w:t xml:space="preserve">, pārskata periodā </w:t>
      </w:r>
      <w:r w:rsidRPr="00267BEC">
        <w:rPr>
          <w:rFonts w:cstheme="minorHAnsi"/>
        </w:rPr>
        <w:t xml:space="preserve">faktiski </w:t>
      </w:r>
      <w:r w:rsidR="00C35EA7" w:rsidRPr="00267BEC">
        <w:rPr>
          <w:rFonts w:cstheme="minorHAnsi"/>
        </w:rPr>
        <w:t>–</w:t>
      </w:r>
      <w:r w:rsidRPr="00267BEC">
        <w:rPr>
          <w:rFonts w:cstheme="minorHAnsi"/>
        </w:rPr>
        <w:t xml:space="preserve"> </w:t>
      </w:r>
      <w:r w:rsidR="00530C9C">
        <w:rPr>
          <w:rFonts w:cstheme="minorHAnsi"/>
        </w:rPr>
        <w:t>2.04</w:t>
      </w:r>
      <w:r w:rsidR="00C35EA7" w:rsidRPr="00267BEC">
        <w:rPr>
          <w:rFonts w:cstheme="minorHAnsi"/>
        </w:rPr>
        <w:t xml:space="preserve">. Likviditāti ietekmē gan apgrozāmo līdzekļu </w:t>
      </w:r>
      <w:r w:rsidR="00A1190D" w:rsidRPr="00267BEC">
        <w:rPr>
          <w:rFonts w:cstheme="minorHAnsi"/>
        </w:rPr>
        <w:t>palielinājums</w:t>
      </w:r>
      <w:r w:rsidR="00C35EA7" w:rsidRPr="00267BEC">
        <w:rPr>
          <w:rFonts w:cstheme="minorHAnsi"/>
        </w:rPr>
        <w:t xml:space="preserve"> (</w:t>
      </w:r>
      <w:r w:rsidR="002E5B69" w:rsidRPr="00267BEC">
        <w:rPr>
          <w:rFonts w:cstheme="minorHAnsi"/>
        </w:rPr>
        <w:t>naudas līdzekļi</w:t>
      </w:r>
      <w:r w:rsidR="00C35EA7" w:rsidRPr="00267BEC">
        <w:rPr>
          <w:rFonts w:cstheme="minorHAnsi"/>
        </w:rPr>
        <w:t>,</w:t>
      </w:r>
      <w:r w:rsidR="00A1190D" w:rsidRPr="00267BEC">
        <w:rPr>
          <w:rFonts w:cstheme="minorHAnsi"/>
        </w:rPr>
        <w:t xml:space="preserve"> krājumi</w:t>
      </w:r>
      <w:r w:rsidR="00C35EA7" w:rsidRPr="00267BEC">
        <w:rPr>
          <w:rFonts w:cstheme="minorHAnsi"/>
        </w:rPr>
        <w:t xml:space="preserve">), gan īstermiņa kreditoru </w:t>
      </w:r>
      <w:r w:rsidR="00267BEC" w:rsidRPr="00267BEC">
        <w:rPr>
          <w:rFonts w:cstheme="minorHAnsi"/>
        </w:rPr>
        <w:t>samazinājums</w:t>
      </w:r>
      <w:r w:rsidR="00C35EA7" w:rsidRPr="00267BEC">
        <w:rPr>
          <w:rFonts w:cstheme="minorHAnsi"/>
        </w:rPr>
        <w:t xml:space="preserve"> (</w:t>
      </w:r>
      <w:r w:rsidR="00267BEC" w:rsidRPr="00267BEC">
        <w:rPr>
          <w:rFonts w:cstheme="minorHAnsi"/>
        </w:rPr>
        <w:t>pamatā VGA maksājums</w:t>
      </w:r>
      <w:r w:rsidR="00C35EA7" w:rsidRPr="00267BEC">
        <w:rPr>
          <w:rFonts w:cstheme="minorHAnsi"/>
        </w:rPr>
        <w:t>).</w:t>
      </w:r>
    </w:p>
    <w:p w14:paraId="675CC5CD" w14:textId="77777777" w:rsidR="00D21AA3" w:rsidRDefault="00D21AA3" w:rsidP="008D79D0">
      <w:pPr>
        <w:spacing w:after="0"/>
        <w:rPr>
          <w:rFonts w:cstheme="minorHAnsi"/>
          <w:b/>
          <w:bCs/>
        </w:rPr>
      </w:pPr>
    </w:p>
    <w:p w14:paraId="3FB3132D" w14:textId="79985FCA" w:rsidR="008D79D0" w:rsidRPr="003D07A2" w:rsidRDefault="008D79D0" w:rsidP="008D79D0">
      <w:pPr>
        <w:spacing w:after="0"/>
        <w:rPr>
          <w:rFonts w:cstheme="minorHAnsi"/>
          <w:b/>
          <w:bCs/>
        </w:rPr>
      </w:pPr>
      <w:r w:rsidRPr="003D07A2">
        <w:rPr>
          <w:rFonts w:cstheme="minorHAnsi"/>
          <w:b/>
          <w:bCs/>
        </w:rPr>
        <w:t>Ieguldījumi Sabiedrības infrastruktūrā</w:t>
      </w:r>
    </w:p>
    <w:p w14:paraId="44614486" w14:textId="1F8AA8E1" w:rsidR="00B63C01" w:rsidRPr="003D07A2" w:rsidRDefault="00B63C01" w:rsidP="00FA2AE6">
      <w:pPr>
        <w:spacing w:before="100" w:beforeAutospacing="1" w:after="100" w:afterAutospacing="1"/>
        <w:jc w:val="both"/>
        <w:rPr>
          <w:rFonts w:cstheme="minorHAnsi"/>
        </w:rPr>
      </w:pPr>
      <w:r w:rsidRPr="003D07A2">
        <w:rPr>
          <w:rFonts w:cstheme="minorHAnsi"/>
        </w:rPr>
        <w:t xml:space="preserve">Kopā Sabiedrība pārskata periodā ir veikusi ilgtermiņa ieguldījumus </w:t>
      </w:r>
      <w:r w:rsidR="00A507DA">
        <w:rPr>
          <w:rFonts w:cstheme="minorHAnsi"/>
        </w:rPr>
        <w:t>73 003</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(saskaņā ar naudas plūsmu)</w:t>
      </w:r>
      <w:r w:rsidR="00C14F51">
        <w:rPr>
          <w:rFonts w:cstheme="minorHAnsi"/>
        </w:rPr>
        <w:t xml:space="preserve">, tai skaitā nepabeigtā būvniecība </w:t>
      </w:r>
      <w:r w:rsidR="000F5E1B">
        <w:rPr>
          <w:rFonts w:cstheme="minorHAnsi"/>
        </w:rPr>
        <w:t>19 490</w:t>
      </w:r>
      <w:r w:rsidR="00C14F51">
        <w:rPr>
          <w:rFonts w:cstheme="minorHAnsi"/>
        </w:rPr>
        <w:t xml:space="preserve"> </w:t>
      </w:r>
      <w:proofErr w:type="spellStart"/>
      <w:r w:rsidR="00C14F51">
        <w:rPr>
          <w:rFonts w:cstheme="minorHAnsi"/>
        </w:rPr>
        <w:t>euro</w:t>
      </w:r>
      <w:proofErr w:type="spellEnd"/>
      <w:r w:rsidR="00033934">
        <w:rPr>
          <w:rFonts w:cstheme="minorHAnsi"/>
        </w:rPr>
        <w:t xml:space="preserve"> (bērnu psihiatrijas nodaļas </w:t>
      </w:r>
      <w:r w:rsidR="00C2632C">
        <w:rPr>
          <w:rFonts w:cstheme="minorHAnsi"/>
        </w:rPr>
        <w:t xml:space="preserve">un </w:t>
      </w:r>
      <w:proofErr w:type="spellStart"/>
      <w:r w:rsidR="00C2632C">
        <w:rPr>
          <w:rFonts w:cstheme="minorHAnsi"/>
        </w:rPr>
        <w:t>Psiho</w:t>
      </w:r>
      <w:r w:rsidR="001A1F1C">
        <w:rPr>
          <w:rFonts w:cstheme="minorHAnsi"/>
        </w:rPr>
        <w:t>sociālās</w:t>
      </w:r>
      <w:proofErr w:type="spellEnd"/>
      <w:r w:rsidR="00C2632C">
        <w:rPr>
          <w:rFonts w:cstheme="minorHAnsi"/>
        </w:rPr>
        <w:t xml:space="preserve"> rehabilitācijas ēkas projektēšana)</w:t>
      </w:r>
      <w:r w:rsidR="00D21AA3">
        <w:rPr>
          <w:rFonts w:cstheme="minorHAnsi"/>
        </w:rPr>
        <w:t>.</w:t>
      </w:r>
    </w:p>
    <w:p w14:paraId="142603B1" w14:textId="44F23761" w:rsidR="007B12D7" w:rsidRPr="003D07A2" w:rsidRDefault="00B63C01" w:rsidP="00FA2AE6">
      <w:pPr>
        <w:spacing w:before="100" w:beforeAutospacing="1" w:after="100" w:afterAutospacing="1"/>
        <w:jc w:val="center"/>
        <w:rPr>
          <w:rFonts w:cstheme="minorHAnsi"/>
        </w:rPr>
      </w:pPr>
      <w:r w:rsidRPr="003D07A2">
        <w:rPr>
          <w:rFonts w:cstheme="minorHAnsi"/>
          <w:b/>
          <w:bCs/>
        </w:rPr>
        <w:t>Ieguldījumi</w:t>
      </w:r>
      <w:r w:rsidRPr="003D07A2">
        <w:rPr>
          <w:rFonts w:cstheme="minorHAnsi"/>
        </w:rPr>
        <w:t xml:space="preserve">, </w:t>
      </w:r>
      <w:proofErr w:type="spellStart"/>
      <w:r w:rsidRPr="003D07A2">
        <w:rPr>
          <w:rFonts w:cstheme="minorHAnsi"/>
        </w:rPr>
        <w:t>euro</w:t>
      </w:r>
      <w:proofErr w:type="spellEnd"/>
    </w:p>
    <w:tbl>
      <w:tblPr>
        <w:tblStyle w:val="Reatabula"/>
        <w:tblW w:w="0" w:type="auto"/>
        <w:tblLayout w:type="fixed"/>
        <w:tblLook w:val="04A0" w:firstRow="1" w:lastRow="0" w:firstColumn="1" w:lastColumn="0" w:noHBand="0" w:noVBand="1"/>
      </w:tblPr>
      <w:tblGrid>
        <w:gridCol w:w="2689"/>
        <w:gridCol w:w="1134"/>
        <w:gridCol w:w="992"/>
        <w:gridCol w:w="1134"/>
        <w:gridCol w:w="1338"/>
        <w:gridCol w:w="1009"/>
      </w:tblGrid>
      <w:tr w:rsidR="00F84287" w:rsidRPr="003D07A2" w14:paraId="3AE4DF3B" w14:textId="77777777" w:rsidTr="00FA2AE6">
        <w:trPr>
          <w:trHeight w:val="877"/>
        </w:trPr>
        <w:tc>
          <w:tcPr>
            <w:tcW w:w="2689" w:type="dxa"/>
            <w:vAlign w:val="center"/>
          </w:tcPr>
          <w:p w14:paraId="11685281" w14:textId="77777777" w:rsidR="00F84287" w:rsidRPr="003D07A2" w:rsidRDefault="00F84287" w:rsidP="00F84287">
            <w:pPr>
              <w:jc w:val="center"/>
              <w:rPr>
                <w:rFonts w:cstheme="minorHAnsi"/>
              </w:rPr>
            </w:pPr>
            <w:r w:rsidRPr="003D07A2">
              <w:rPr>
                <w:rFonts w:cstheme="minorHAnsi"/>
              </w:rPr>
              <w:t>Ieguldījumu pozīcija</w:t>
            </w:r>
          </w:p>
        </w:tc>
        <w:tc>
          <w:tcPr>
            <w:tcW w:w="1134" w:type="dxa"/>
            <w:vAlign w:val="center"/>
          </w:tcPr>
          <w:p w14:paraId="6A31D0FD" w14:textId="18C22669" w:rsidR="00F84287" w:rsidRPr="003D07A2" w:rsidRDefault="00F84287" w:rsidP="00F84287">
            <w:pPr>
              <w:jc w:val="center"/>
              <w:rPr>
                <w:rFonts w:cstheme="minorHAnsi"/>
              </w:rPr>
            </w:pPr>
            <w:r w:rsidRPr="003D07A2">
              <w:rPr>
                <w:rFonts w:cstheme="minorHAnsi"/>
              </w:rPr>
              <w:t>20</w:t>
            </w:r>
            <w:r w:rsidR="00D21AA3">
              <w:rPr>
                <w:rFonts w:cstheme="minorHAnsi"/>
              </w:rPr>
              <w:t>2</w:t>
            </w:r>
            <w:r w:rsidR="00721D41">
              <w:rPr>
                <w:rFonts w:cstheme="minorHAnsi"/>
              </w:rPr>
              <w:t>1</w:t>
            </w:r>
            <w:r w:rsidRPr="003D07A2">
              <w:rPr>
                <w:rFonts w:cstheme="minorHAnsi"/>
              </w:rPr>
              <w:t>.</w:t>
            </w:r>
            <w:r w:rsidR="00FA2AE6" w:rsidRPr="003D07A2">
              <w:rPr>
                <w:rFonts w:cstheme="minorHAnsi"/>
              </w:rPr>
              <w:t xml:space="preserve"> </w:t>
            </w:r>
            <w:r w:rsidRPr="003D07A2">
              <w:rPr>
                <w:rFonts w:cstheme="minorHAnsi"/>
              </w:rPr>
              <w:t>gads</w:t>
            </w:r>
          </w:p>
        </w:tc>
        <w:tc>
          <w:tcPr>
            <w:tcW w:w="992" w:type="dxa"/>
            <w:vAlign w:val="center"/>
          </w:tcPr>
          <w:p w14:paraId="142B679C" w14:textId="4D36BC31" w:rsidR="00F84287" w:rsidRPr="003D07A2" w:rsidRDefault="00F84287" w:rsidP="00F84287">
            <w:pPr>
              <w:jc w:val="center"/>
              <w:rPr>
                <w:rFonts w:cstheme="minorHAnsi"/>
              </w:rPr>
            </w:pPr>
            <w:r w:rsidRPr="003D07A2">
              <w:rPr>
                <w:rFonts w:cstheme="minorHAnsi"/>
              </w:rPr>
              <w:t>202</w:t>
            </w:r>
            <w:r w:rsidR="00721D41">
              <w:rPr>
                <w:rFonts w:cstheme="minorHAnsi"/>
              </w:rPr>
              <w:t>2</w:t>
            </w:r>
            <w:r w:rsidRPr="003D07A2">
              <w:rPr>
                <w:rFonts w:cstheme="minorHAnsi"/>
              </w:rPr>
              <w:t>.g.</w:t>
            </w:r>
            <w:r w:rsidR="00FA2AE6" w:rsidRPr="003D07A2">
              <w:rPr>
                <w:rFonts w:cstheme="minorHAnsi"/>
              </w:rPr>
              <w:t xml:space="preserve"> </w:t>
            </w:r>
            <w:r w:rsidRPr="003D07A2">
              <w:rPr>
                <w:rFonts w:cstheme="minorHAnsi"/>
              </w:rPr>
              <w:t>plāns</w:t>
            </w:r>
          </w:p>
        </w:tc>
        <w:tc>
          <w:tcPr>
            <w:tcW w:w="1134" w:type="dxa"/>
            <w:vAlign w:val="center"/>
          </w:tcPr>
          <w:p w14:paraId="60327C26" w14:textId="3E83C2DF" w:rsidR="00F84287" w:rsidRPr="003D07A2" w:rsidRDefault="00F84287" w:rsidP="00F84287">
            <w:pPr>
              <w:jc w:val="center"/>
              <w:rPr>
                <w:rFonts w:cstheme="minorHAnsi"/>
              </w:rPr>
            </w:pPr>
            <w:r w:rsidRPr="003D07A2">
              <w:rPr>
                <w:rFonts w:cstheme="minorHAnsi"/>
              </w:rPr>
              <w:t>202</w:t>
            </w:r>
            <w:r w:rsidR="00721D41">
              <w:rPr>
                <w:rFonts w:cstheme="minorHAnsi"/>
              </w:rPr>
              <w:t>2</w:t>
            </w:r>
            <w:r w:rsidRPr="003D07A2">
              <w:rPr>
                <w:rFonts w:cstheme="minorHAnsi"/>
              </w:rPr>
              <w:t>.g.</w:t>
            </w:r>
            <w:r w:rsidR="00FA2AE6" w:rsidRPr="003D07A2">
              <w:rPr>
                <w:rFonts w:cstheme="minorHAnsi"/>
              </w:rPr>
              <w:t xml:space="preserve"> </w:t>
            </w:r>
            <w:r w:rsidRPr="003D07A2">
              <w:rPr>
                <w:rFonts w:cstheme="minorHAnsi"/>
              </w:rPr>
              <w:t>fakts</w:t>
            </w:r>
          </w:p>
        </w:tc>
        <w:tc>
          <w:tcPr>
            <w:tcW w:w="1338" w:type="dxa"/>
            <w:vAlign w:val="center"/>
          </w:tcPr>
          <w:p w14:paraId="0BD1ABA7" w14:textId="701561A5" w:rsidR="00F84287" w:rsidRPr="003D07A2" w:rsidRDefault="00F84287" w:rsidP="00F84287">
            <w:pPr>
              <w:jc w:val="center"/>
              <w:rPr>
                <w:rFonts w:cstheme="minorHAnsi"/>
              </w:rPr>
            </w:pPr>
            <w:r w:rsidRPr="003D07A2">
              <w:rPr>
                <w:rFonts w:cstheme="minorHAnsi"/>
              </w:rPr>
              <w:t>Novirze pret 20</w:t>
            </w:r>
            <w:r w:rsidR="001E5DA4">
              <w:rPr>
                <w:rFonts w:cstheme="minorHAnsi"/>
              </w:rPr>
              <w:t>2</w:t>
            </w:r>
            <w:r w:rsidR="00721D41">
              <w:rPr>
                <w:rFonts w:cstheme="minorHAnsi"/>
              </w:rPr>
              <w:t>1</w:t>
            </w:r>
            <w:r w:rsidRPr="003D07A2">
              <w:rPr>
                <w:rFonts w:cstheme="minorHAnsi"/>
              </w:rPr>
              <w:t>.g.</w:t>
            </w:r>
          </w:p>
        </w:tc>
        <w:tc>
          <w:tcPr>
            <w:tcW w:w="1009" w:type="dxa"/>
            <w:vAlign w:val="center"/>
          </w:tcPr>
          <w:p w14:paraId="05B2E416" w14:textId="77777777" w:rsidR="00F84287" w:rsidRPr="003D07A2" w:rsidRDefault="00F84287" w:rsidP="00F84287">
            <w:pPr>
              <w:jc w:val="center"/>
              <w:rPr>
                <w:rFonts w:cstheme="minorHAnsi"/>
              </w:rPr>
            </w:pPr>
            <w:r w:rsidRPr="003D07A2">
              <w:rPr>
                <w:rFonts w:cstheme="minorHAnsi"/>
              </w:rPr>
              <w:t>Novirze pret plānu</w:t>
            </w:r>
          </w:p>
        </w:tc>
      </w:tr>
      <w:tr w:rsidR="00721D41" w:rsidRPr="003D07A2" w14:paraId="18DE76F8" w14:textId="77777777" w:rsidTr="00FA2AE6">
        <w:tc>
          <w:tcPr>
            <w:tcW w:w="2689" w:type="dxa"/>
          </w:tcPr>
          <w:p w14:paraId="7954BFF5" w14:textId="77777777" w:rsidR="00721D41" w:rsidRPr="003D07A2" w:rsidRDefault="00721D41" w:rsidP="00721D41">
            <w:pPr>
              <w:rPr>
                <w:rFonts w:cstheme="minorHAnsi"/>
              </w:rPr>
            </w:pPr>
            <w:r w:rsidRPr="003D07A2">
              <w:rPr>
                <w:rFonts w:cstheme="minorHAnsi"/>
              </w:rPr>
              <w:t>Nemateriālie ieguldījumi (licences)</w:t>
            </w:r>
          </w:p>
        </w:tc>
        <w:tc>
          <w:tcPr>
            <w:tcW w:w="1134" w:type="dxa"/>
            <w:vAlign w:val="center"/>
          </w:tcPr>
          <w:p w14:paraId="43551EED" w14:textId="0D8466C2" w:rsidR="00721D41" w:rsidRPr="003D07A2" w:rsidRDefault="00721D41" w:rsidP="00721D41">
            <w:pPr>
              <w:jc w:val="center"/>
              <w:rPr>
                <w:rFonts w:cstheme="minorHAnsi"/>
              </w:rPr>
            </w:pPr>
            <w:r>
              <w:rPr>
                <w:rFonts w:cstheme="minorHAnsi"/>
              </w:rPr>
              <w:t>0</w:t>
            </w:r>
          </w:p>
        </w:tc>
        <w:tc>
          <w:tcPr>
            <w:tcW w:w="992" w:type="dxa"/>
            <w:vAlign w:val="center"/>
          </w:tcPr>
          <w:p w14:paraId="33904CEE" w14:textId="38262764" w:rsidR="00721D41" w:rsidRPr="003D07A2" w:rsidRDefault="00234BEE" w:rsidP="00721D41">
            <w:pPr>
              <w:jc w:val="center"/>
              <w:rPr>
                <w:rFonts w:cstheme="minorHAnsi"/>
              </w:rPr>
            </w:pPr>
            <w:r>
              <w:rPr>
                <w:rFonts w:cstheme="minorHAnsi"/>
              </w:rPr>
              <w:t>0</w:t>
            </w:r>
          </w:p>
        </w:tc>
        <w:tc>
          <w:tcPr>
            <w:tcW w:w="1134" w:type="dxa"/>
            <w:vAlign w:val="center"/>
          </w:tcPr>
          <w:p w14:paraId="41E41057" w14:textId="66A7AD4B" w:rsidR="00721D41" w:rsidRPr="003D07A2" w:rsidRDefault="00234BEE" w:rsidP="00721D41">
            <w:pPr>
              <w:jc w:val="center"/>
              <w:rPr>
                <w:rFonts w:cstheme="minorHAnsi"/>
              </w:rPr>
            </w:pPr>
            <w:r>
              <w:rPr>
                <w:rFonts w:cstheme="minorHAnsi"/>
              </w:rPr>
              <w:t>270</w:t>
            </w:r>
          </w:p>
        </w:tc>
        <w:tc>
          <w:tcPr>
            <w:tcW w:w="1338" w:type="dxa"/>
            <w:vAlign w:val="center"/>
          </w:tcPr>
          <w:p w14:paraId="57A7A79E" w14:textId="390D2F83" w:rsidR="00721D41" w:rsidRPr="003D07A2" w:rsidRDefault="00890760" w:rsidP="00721D41">
            <w:pPr>
              <w:jc w:val="center"/>
              <w:rPr>
                <w:rFonts w:cstheme="minorHAnsi"/>
              </w:rPr>
            </w:pPr>
            <w:r>
              <w:rPr>
                <w:rFonts w:cstheme="minorHAnsi"/>
              </w:rPr>
              <w:t>+270</w:t>
            </w:r>
          </w:p>
        </w:tc>
        <w:tc>
          <w:tcPr>
            <w:tcW w:w="1009" w:type="dxa"/>
            <w:vAlign w:val="center"/>
          </w:tcPr>
          <w:p w14:paraId="55D649EA" w14:textId="3CA06939" w:rsidR="00721D41" w:rsidRPr="003D07A2" w:rsidRDefault="00890760" w:rsidP="00721D41">
            <w:pPr>
              <w:jc w:val="center"/>
              <w:rPr>
                <w:rFonts w:cstheme="minorHAnsi"/>
              </w:rPr>
            </w:pPr>
            <w:r>
              <w:rPr>
                <w:rFonts w:cstheme="minorHAnsi"/>
              </w:rPr>
              <w:t>+270</w:t>
            </w:r>
          </w:p>
        </w:tc>
      </w:tr>
      <w:tr w:rsidR="00721D41" w:rsidRPr="003D07A2" w14:paraId="11047CE8" w14:textId="77777777" w:rsidTr="00FA2AE6">
        <w:tc>
          <w:tcPr>
            <w:tcW w:w="2689" w:type="dxa"/>
          </w:tcPr>
          <w:p w14:paraId="2986BD38" w14:textId="77777777" w:rsidR="00721D41" w:rsidRPr="003D07A2" w:rsidRDefault="00721D41" w:rsidP="00721D41">
            <w:pPr>
              <w:rPr>
                <w:rFonts w:cstheme="minorHAnsi"/>
              </w:rPr>
            </w:pPr>
            <w:r w:rsidRPr="003D07A2">
              <w:rPr>
                <w:rFonts w:cstheme="minorHAnsi"/>
              </w:rPr>
              <w:t>Nekustamais īpašums</w:t>
            </w:r>
          </w:p>
        </w:tc>
        <w:tc>
          <w:tcPr>
            <w:tcW w:w="1134" w:type="dxa"/>
            <w:vAlign w:val="center"/>
          </w:tcPr>
          <w:p w14:paraId="3115DEDE" w14:textId="36C21923" w:rsidR="00721D41" w:rsidRPr="003D07A2" w:rsidRDefault="009D6C3A" w:rsidP="00721D41">
            <w:pPr>
              <w:jc w:val="center"/>
              <w:rPr>
                <w:rFonts w:cstheme="minorHAnsi"/>
              </w:rPr>
            </w:pPr>
            <w:r>
              <w:rPr>
                <w:rFonts w:cstheme="minorHAnsi"/>
              </w:rPr>
              <w:t>23 683</w:t>
            </w:r>
          </w:p>
        </w:tc>
        <w:tc>
          <w:tcPr>
            <w:tcW w:w="992" w:type="dxa"/>
            <w:vAlign w:val="center"/>
          </w:tcPr>
          <w:p w14:paraId="2F13B61A" w14:textId="65A0DA7E" w:rsidR="00721D41" w:rsidRPr="003D07A2" w:rsidRDefault="009D6C3A" w:rsidP="00721D41">
            <w:pPr>
              <w:jc w:val="center"/>
              <w:rPr>
                <w:rFonts w:cstheme="minorHAnsi"/>
              </w:rPr>
            </w:pPr>
            <w:r>
              <w:rPr>
                <w:rFonts w:cstheme="minorHAnsi"/>
              </w:rPr>
              <w:t>80 415</w:t>
            </w:r>
          </w:p>
        </w:tc>
        <w:tc>
          <w:tcPr>
            <w:tcW w:w="1134" w:type="dxa"/>
            <w:vAlign w:val="center"/>
          </w:tcPr>
          <w:p w14:paraId="223DD9EA" w14:textId="4C54C3B8" w:rsidR="00721D41" w:rsidRPr="003D07A2" w:rsidRDefault="009D6C3A" w:rsidP="00721D41">
            <w:pPr>
              <w:jc w:val="center"/>
              <w:rPr>
                <w:rFonts w:cstheme="minorHAnsi"/>
              </w:rPr>
            </w:pPr>
            <w:r>
              <w:rPr>
                <w:rFonts w:cstheme="minorHAnsi"/>
              </w:rPr>
              <w:t>19 490</w:t>
            </w:r>
          </w:p>
        </w:tc>
        <w:tc>
          <w:tcPr>
            <w:tcW w:w="1338" w:type="dxa"/>
            <w:vAlign w:val="center"/>
          </w:tcPr>
          <w:p w14:paraId="39DDB103" w14:textId="502F0AB2" w:rsidR="00721D41" w:rsidRPr="003D07A2" w:rsidRDefault="00890760" w:rsidP="00721D41">
            <w:pPr>
              <w:jc w:val="center"/>
              <w:rPr>
                <w:rFonts w:cstheme="minorHAnsi"/>
              </w:rPr>
            </w:pPr>
            <w:r>
              <w:rPr>
                <w:rFonts w:cstheme="minorHAnsi"/>
              </w:rPr>
              <w:t>-</w:t>
            </w:r>
            <w:r w:rsidR="009D6C3A">
              <w:rPr>
                <w:rFonts w:cstheme="minorHAnsi"/>
              </w:rPr>
              <w:t>4193</w:t>
            </w:r>
          </w:p>
        </w:tc>
        <w:tc>
          <w:tcPr>
            <w:tcW w:w="1009" w:type="dxa"/>
            <w:vAlign w:val="center"/>
          </w:tcPr>
          <w:p w14:paraId="08DC931D" w14:textId="62A23A22" w:rsidR="00721D41" w:rsidRPr="003D07A2" w:rsidRDefault="00890760" w:rsidP="00721D41">
            <w:pPr>
              <w:jc w:val="center"/>
              <w:rPr>
                <w:rFonts w:cstheme="minorHAnsi"/>
              </w:rPr>
            </w:pPr>
            <w:r>
              <w:rPr>
                <w:rFonts w:cstheme="minorHAnsi"/>
              </w:rPr>
              <w:t>-</w:t>
            </w:r>
            <w:r w:rsidR="001A1F1C">
              <w:rPr>
                <w:rFonts w:cstheme="minorHAnsi"/>
              </w:rPr>
              <w:t>60</w:t>
            </w:r>
            <w:r w:rsidR="00666388">
              <w:rPr>
                <w:rFonts w:cstheme="minorHAnsi"/>
              </w:rPr>
              <w:t xml:space="preserve"> </w:t>
            </w:r>
            <w:r w:rsidR="001A1F1C">
              <w:rPr>
                <w:rFonts w:cstheme="minorHAnsi"/>
              </w:rPr>
              <w:t>925</w:t>
            </w:r>
          </w:p>
        </w:tc>
      </w:tr>
      <w:tr w:rsidR="00721D41" w:rsidRPr="003D07A2" w14:paraId="56018ADF" w14:textId="77777777" w:rsidTr="00FA2AE6">
        <w:tc>
          <w:tcPr>
            <w:tcW w:w="2689" w:type="dxa"/>
          </w:tcPr>
          <w:p w14:paraId="74387AB0" w14:textId="77777777" w:rsidR="00721D41" w:rsidRPr="003D07A2" w:rsidRDefault="00721D41" w:rsidP="00721D41">
            <w:pPr>
              <w:rPr>
                <w:rFonts w:cstheme="minorHAnsi"/>
              </w:rPr>
            </w:pPr>
            <w:r w:rsidRPr="003D07A2">
              <w:rPr>
                <w:rFonts w:cstheme="minorHAnsi"/>
              </w:rPr>
              <w:t>Tehnoloģiskās iekārtas</w:t>
            </w:r>
          </w:p>
        </w:tc>
        <w:tc>
          <w:tcPr>
            <w:tcW w:w="1134" w:type="dxa"/>
            <w:vAlign w:val="center"/>
          </w:tcPr>
          <w:p w14:paraId="35C7AACC" w14:textId="5EAFDDC3" w:rsidR="00721D41" w:rsidRPr="003D07A2" w:rsidRDefault="00666388" w:rsidP="00721D41">
            <w:pPr>
              <w:jc w:val="center"/>
              <w:rPr>
                <w:rFonts w:cstheme="minorHAnsi"/>
              </w:rPr>
            </w:pPr>
            <w:r>
              <w:rPr>
                <w:rFonts w:cstheme="minorHAnsi"/>
              </w:rPr>
              <w:t>19 456</w:t>
            </w:r>
          </w:p>
        </w:tc>
        <w:tc>
          <w:tcPr>
            <w:tcW w:w="992" w:type="dxa"/>
            <w:vAlign w:val="center"/>
          </w:tcPr>
          <w:p w14:paraId="47F02D80" w14:textId="6E889D25" w:rsidR="00721D41" w:rsidRPr="003D07A2" w:rsidRDefault="00666388" w:rsidP="00721D41">
            <w:pPr>
              <w:jc w:val="center"/>
              <w:rPr>
                <w:rFonts w:cstheme="minorHAnsi"/>
              </w:rPr>
            </w:pPr>
            <w:r>
              <w:rPr>
                <w:rFonts w:cstheme="minorHAnsi"/>
              </w:rPr>
              <w:t>1880</w:t>
            </w:r>
          </w:p>
        </w:tc>
        <w:tc>
          <w:tcPr>
            <w:tcW w:w="1134" w:type="dxa"/>
            <w:vAlign w:val="center"/>
          </w:tcPr>
          <w:p w14:paraId="640E55B9" w14:textId="0B2F59F6" w:rsidR="00721D41" w:rsidRPr="003D07A2" w:rsidRDefault="00AF4A79" w:rsidP="00721D41">
            <w:pPr>
              <w:jc w:val="center"/>
              <w:rPr>
                <w:rFonts w:cstheme="minorHAnsi"/>
              </w:rPr>
            </w:pPr>
            <w:r>
              <w:rPr>
                <w:rFonts w:cstheme="minorHAnsi"/>
              </w:rPr>
              <w:t>14 860</w:t>
            </w:r>
          </w:p>
        </w:tc>
        <w:tc>
          <w:tcPr>
            <w:tcW w:w="1338" w:type="dxa"/>
            <w:vAlign w:val="center"/>
          </w:tcPr>
          <w:p w14:paraId="14FB8C53" w14:textId="73F651E3" w:rsidR="00721D41" w:rsidRPr="003D07A2" w:rsidRDefault="00666388" w:rsidP="00721D41">
            <w:pPr>
              <w:jc w:val="center"/>
              <w:rPr>
                <w:rFonts w:cstheme="minorHAnsi"/>
              </w:rPr>
            </w:pPr>
            <w:r>
              <w:rPr>
                <w:rFonts w:cstheme="minorHAnsi"/>
              </w:rPr>
              <w:t>-4596</w:t>
            </w:r>
          </w:p>
        </w:tc>
        <w:tc>
          <w:tcPr>
            <w:tcW w:w="1009" w:type="dxa"/>
            <w:vAlign w:val="center"/>
          </w:tcPr>
          <w:p w14:paraId="11431822" w14:textId="049D277C" w:rsidR="00721D41" w:rsidRPr="003D07A2" w:rsidRDefault="002F39B7" w:rsidP="00721D41">
            <w:pPr>
              <w:jc w:val="center"/>
              <w:rPr>
                <w:rFonts w:cstheme="minorHAnsi"/>
              </w:rPr>
            </w:pPr>
            <w:r>
              <w:rPr>
                <w:rFonts w:cstheme="minorHAnsi"/>
              </w:rPr>
              <w:t>+</w:t>
            </w:r>
            <w:r w:rsidR="00666388">
              <w:rPr>
                <w:rFonts w:cstheme="minorHAnsi"/>
              </w:rPr>
              <w:t>12 980</w:t>
            </w:r>
          </w:p>
        </w:tc>
      </w:tr>
      <w:tr w:rsidR="00721D41" w:rsidRPr="003D07A2" w14:paraId="55D1C51F" w14:textId="77777777" w:rsidTr="00FA2AE6">
        <w:tc>
          <w:tcPr>
            <w:tcW w:w="2689" w:type="dxa"/>
          </w:tcPr>
          <w:p w14:paraId="14396189" w14:textId="77777777" w:rsidR="00721D41" w:rsidRPr="003D07A2" w:rsidRDefault="00721D41" w:rsidP="00721D41">
            <w:pPr>
              <w:rPr>
                <w:rFonts w:cstheme="minorHAnsi"/>
              </w:rPr>
            </w:pPr>
            <w:r w:rsidRPr="003D07A2">
              <w:rPr>
                <w:rFonts w:cstheme="minorHAnsi"/>
              </w:rPr>
              <w:t>Saimniecības pamatlīdzekļi</w:t>
            </w:r>
          </w:p>
        </w:tc>
        <w:tc>
          <w:tcPr>
            <w:tcW w:w="1134" w:type="dxa"/>
            <w:vAlign w:val="center"/>
          </w:tcPr>
          <w:p w14:paraId="785F740C" w14:textId="3FDA7BD2" w:rsidR="00721D41" w:rsidRPr="003D07A2" w:rsidRDefault="00D4732F" w:rsidP="00721D41">
            <w:pPr>
              <w:jc w:val="center"/>
              <w:rPr>
                <w:rFonts w:cstheme="minorHAnsi"/>
              </w:rPr>
            </w:pPr>
            <w:r>
              <w:rPr>
                <w:rFonts w:cstheme="minorHAnsi"/>
              </w:rPr>
              <w:t>13 822</w:t>
            </w:r>
          </w:p>
        </w:tc>
        <w:tc>
          <w:tcPr>
            <w:tcW w:w="992" w:type="dxa"/>
            <w:vAlign w:val="center"/>
          </w:tcPr>
          <w:p w14:paraId="00F3E1CE" w14:textId="17894E1F" w:rsidR="00721D41" w:rsidRPr="003D07A2" w:rsidRDefault="00D4732F" w:rsidP="00721D41">
            <w:pPr>
              <w:jc w:val="center"/>
              <w:rPr>
                <w:rFonts w:cstheme="minorHAnsi"/>
              </w:rPr>
            </w:pPr>
            <w:r>
              <w:rPr>
                <w:rFonts w:cstheme="minorHAnsi"/>
              </w:rPr>
              <w:t>26 945</w:t>
            </w:r>
          </w:p>
        </w:tc>
        <w:tc>
          <w:tcPr>
            <w:tcW w:w="1134" w:type="dxa"/>
            <w:vAlign w:val="center"/>
          </w:tcPr>
          <w:p w14:paraId="272A4F9D" w14:textId="19618B75" w:rsidR="00721D41" w:rsidRPr="003D07A2" w:rsidRDefault="00D4732F" w:rsidP="00721D41">
            <w:pPr>
              <w:jc w:val="center"/>
              <w:rPr>
                <w:rFonts w:cstheme="minorHAnsi"/>
              </w:rPr>
            </w:pPr>
            <w:r>
              <w:rPr>
                <w:rFonts w:cstheme="minorHAnsi"/>
              </w:rPr>
              <w:t>14 898</w:t>
            </w:r>
          </w:p>
        </w:tc>
        <w:tc>
          <w:tcPr>
            <w:tcW w:w="1338" w:type="dxa"/>
            <w:vAlign w:val="center"/>
          </w:tcPr>
          <w:p w14:paraId="1D3D0138" w14:textId="17E5D703" w:rsidR="00721D41" w:rsidRPr="003D07A2" w:rsidRDefault="00D4732F" w:rsidP="00721D41">
            <w:pPr>
              <w:jc w:val="center"/>
              <w:rPr>
                <w:rFonts w:cstheme="minorHAnsi"/>
              </w:rPr>
            </w:pPr>
            <w:r>
              <w:rPr>
                <w:rFonts w:cstheme="minorHAnsi"/>
              </w:rPr>
              <w:t>+1076</w:t>
            </w:r>
          </w:p>
        </w:tc>
        <w:tc>
          <w:tcPr>
            <w:tcW w:w="1009" w:type="dxa"/>
            <w:vAlign w:val="center"/>
          </w:tcPr>
          <w:p w14:paraId="486495C0" w14:textId="6F42AAE2" w:rsidR="00721D41" w:rsidRPr="003D07A2" w:rsidRDefault="00D4732F" w:rsidP="00721D41">
            <w:pPr>
              <w:jc w:val="center"/>
              <w:rPr>
                <w:rFonts w:cstheme="minorHAnsi"/>
              </w:rPr>
            </w:pPr>
            <w:r>
              <w:rPr>
                <w:rFonts w:cstheme="minorHAnsi"/>
              </w:rPr>
              <w:t>-12 047</w:t>
            </w:r>
          </w:p>
        </w:tc>
      </w:tr>
      <w:tr w:rsidR="00721D41" w:rsidRPr="003D07A2" w14:paraId="62D0E03A" w14:textId="77777777" w:rsidTr="00FA2AE6">
        <w:tc>
          <w:tcPr>
            <w:tcW w:w="2689" w:type="dxa"/>
          </w:tcPr>
          <w:p w14:paraId="6B841AAA" w14:textId="77777777" w:rsidR="00721D41" w:rsidRPr="003D07A2" w:rsidRDefault="00721D41" w:rsidP="00721D41">
            <w:pPr>
              <w:rPr>
                <w:rFonts w:cstheme="minorHAnsi"/>
              </w:rPr>
            </w:pPr>
            <w:r w:rsidRPr="003D07A2">
              <w:rPr>
                <w:rFonts w:cstheme="minorHAnsi"/>
              </w:rPr>
              <w:t>Datortehnika</w:t>
            </w:r>
          </w:p>
        </w:tc>
        <w:tc>
          <w:tcPr>
            <w:tcW w:w="1134" w:type="dxa"/>
            <w:vAlign w:val="center"/>
          </w:tcPr>
          <w:p w14:paraId="45FFD4E2" w14:textId="13966C5D" w:rsidR="00721D41" w:rsidRPr="003D07A2" w:rsidRDefault="00FA02BC" w:rsidP="00721D41">
            <w:pPr>
              <w:jc w:val="center"/>
              <w:rPr>
                <w:rFonts w:cstheme="minorHAnsi"/>
              </w:rPr>
            </w:pPr>
            <w:r>
              <w:rPr>
                <w:rFonts w:cstheme="minorHAnsi"/>
              </w:rPr>
              <w:t>9246</w:t>
            </w:r>
          </w:p>
        </w:tc>
        <w:tc>
          <w:tcPr>
            <w:tcW w:w="992" w:type="dxa"/>
            <w:vAlign w:val="center"/>
          </w:tcPr>
          <w:p w14:paraId="0296B5F3" w14:textId="694E549C" w:rsidR="00721D41" w:rsidRPr="003D07A2" w:rsidRDefault="00FA02BC" w:rsidP="00721D41">
            <w:pPr>
              <w:jc w:val="center"/>
              <w:rPr>
                <w:rFonts w:cstheme="minorHAnsi"/>
              </w:rPr>
            </w:pPr>
            <w:r>
              <w:rPr>
                <w:rFonts w:cstheme="minorHAnsi"/>
              </w:rPr>
              <w:t>19 500</w:t>
            </w:r>
          </w:p>
        </w:tc>
        <w:tc>
          <w:tcPr>
            <w:tcW w:w="1134" w:type="dxa"/>
            <w:vAlign w:val="center"/>
          </w:tcPr>
          <w:p w14:paraId="6ACEE891" w14:textId="72B9D904" w:rsidR="00721D41" w:rsidRPr="003D07A2" w:rsidRDefault="00FA02BC" w:rsidP="00721D41">
            <w:pPr>
              <w:jc w:val="center"/>
              <w:rPr>
                <w:rFonts w:cstheme="minorHAnsi"/>
              </w:rPr>
            </w:pPr>
            <w:r>
              <w:rPr>
                <w:rFonts w:cstheme="minorHAnsi"/>
              </w:rPr>
              <w:t>19 761</w:t>
            </w:r>
          </w:p>
        </w:tc>
        <w:tc>
          <w:tcPr>
            <w:tcW w:w="1338" w:type="dxa"/>
            <w:vAlign w:val="center"/>
          </w:tcPr>
          <w:p w14:paraId="1EBCF2D9" w14:textId="68B3E416" w:rsidR="00721D41" w:rsidRPr="003D07A2" w:rsidRDefault="0001742B" w:rsidP="00721D41">
            <w:pPr>
              <w:jc w:val="center"/>
              <w:rPr>
                <w:rFonts w:cstheme="minorHAnsi"/>
              </w:rPr>
            </w:pPr>
            <w:r>
              <w:rPr>
                <w:rFonts w:cstheme="minorHAnsi"/>
              </w:rPr>
              <w:t>+</w:t>
            </w:r>
            <w:r w:rsidR="00FA02BC">
              <w:rPr>
                <w:rFonts w:cstheme="minorHAnsi"/>
              </w:rPr>
              <w:t>10 515</w:t>
            </w:r>
          </w:p>
        </w:tc>
        <w:tc>
          <w:tcPr>
            <w:tcW w:w="1009" w:type="dxa"/>
            <w:vAlign w:val="center"/>
          </w:tcPr>
          <w:p w14:paraId="51BD3617" w14:textId="4FEB2AB6" w:rsidR="00721D41" w:rsidRPr="003D07A2" w:rsidRDefault="00FA02BC" w:rsidP="00721D41">
            <w:pPr>
              <w:jc w:val="center"/>
              <w:rPr>
                <w:rFonts w:cstheme="minorHAnsi"/>
              </w:rPr>
            </w:pPr>
            <w:r>
              <w:rPr>
                <w:rFonts w:cstheme="minorHAnsi"/>
              </w:rPr>
              <w:t>+261</w:t>
            </w:r>
          </w:p>
        </w:tc>
      </w:tr>
      <w:tr w:rsidR="00721D41" w:rsidRPr="003D07A2" w14:paraId="7DB828FB" w14:textId="77777777" w:rsidTr="00FA2AE6">
        <w:tc>
          <w:tcPr>
            <w:tcW w:w="2689" w:type="dxa"/>
          </w:tcPr>
          <w:p w14:paraId="0237030A" w14:textId="77777777" w:rsidR="00721D41" w:rsidRPr="003D07A2" w:rsidRDefault="00721D41" w:rsidP="00721D41">
            <w:pPr>
              <w:rPr>
                <w:rFonts w:cstheme="minorHAnsi"/>
              </w:rPr>
            </w:pPr>
            <w:r w:rsidRPr="003D07A2">
              <w:rPr>
                <w:rFonts w:cstheme="minorHAnsi"/>
              </w:rPr>
              <w:t>Pārējie pamatlīdzekļi</w:t>
            </w:r>
          </w:p>
        </w:tc>
        <w:tc>
          <w:tcPr>
            <w:tcW w:w="1134" w:type="dxa"/>
            <w:vAlign w:val="center"/>
          </w:tcPr>
          <w:p w14:paraId="137C54AD" w14:textId="0A4E4FAC" w:rsidR="00721D41" w:rsidRPr="003D07A2" w:rsidRDefault="00DA2E49" w:rsidP="00721D41">
            <w:pPr>
              <w:jc w:val="center"/>
              <w:rPr>
                <w:rFonts w:cstheme="minorHAnsi"/>
              </w:rPr>
            </w:pPr>
            <w:r>
              <w:rPr>
                <w:rFonts w:cstheme="minorHAnsi"/>
              </w:rPr>
              <w:t>12 940</w:t>
            </w:r>
          </w:p>
        </w:tc>
        <w:tc>
          <w:tcPr>
            <w:tcW w:w="992" w:type="dxa"/>
            <w:vAlign w:val="center"/>
          </w:tcPr>
          <w:p w14:paraId="23C9339D" w14:textId="3547C4CE" w:rsidR="00721D41" w:rsidRPr="003D07A2" w:rsidRDefault="00DA2E49" w:rsidP="00721D41">
            <w:pPr>
              <w:jc w:val="center"/>
              <w:rPr>
                <w:rFonts w:cstheme="minorHAnsi"/>
              </w:rPr>
            </w:pPr>
            <w:r>
              <w:rPr>
                <w:rFonts w:cstheme="minorHAnsi"/>
              </w:rPr>
              <w:t>7500</w:t>
            </w:r>
          </w:p>
        </w:tc>
        <w:tc>
          <w:tcPr>
            <w:tcW w:w="1134" w:type="dxa"/>
            <w:vAlign w:val="center"/>
          </w:tcPr>
          <w:p w14:paraId="78CDD271" w14:textId="53B3827B" w:rsidR="00721D41" w:rsidRPr="003D07A2" w:rsidRDefault="00DA2E49" w:rsidP="00721D41">
            <w:pPr>
              <w:jc w:val="center"/>
              <w:rPr>
                <w:rFonts w:cstheme="minorHAnsi"/>
              </w:rPr>
            </w:pPr>
            <w:r>
              <w:rPr>
                <w:rFonts w:cstheme="minorHAnsi"/>
              </w:rPr>
              <w:t>3724</w:t>
            </w:r>
          </w:p>
        </w:tc>
        <w:tc>
          <w:tcPr>
            <w:tcW w:w="1338" w:type="dxa"/>
            <w:vAlign w:val="center"/>
          </w:tcPr>
          <w:p w14:paraId="0B0F330A" w14:textId="1C0DA4B1" w:rsidR="00721D41" w:rsidRPr="003D07A2" w:rsidRDefault="004B22A1" w:rsidP="00721D41">
            <w:pPr>
              <w:jc w:val="center"/>
              <w:rPr>
                <w:rFonts w:cstheme="minorHAnsi"/>
              </w:rPr>
            </w:pPr>
            <w:r>
              <w:rPr>
                <w:rFonts w:cstheme="minorHAnsi"/>
              </w:rPr>
              <w:t>-</w:t>
            </w:r>
            <w:r w:rsidR="00DA2E49">
              <w:rPr>
                <w:rFonts w:cstheme="minorHAnsi"/>
              </w:rPr>
              <w:t>9216</w:t>
            </w:r>
          </w:p>
        </w:tc>
        <w:tc>
          <w:tcPr>
            <w:tcW w:w="1009" w:type="dxa"/>
            <w:vAlign w:val="center"/>
          </w:tcPr>
          <w:p w14:paraId="6125AF04" w14:textId="19E948A0" w:rsidR="00721D41" w:rsidRPr="003D07A2" w:rsidRDefault="00DA2E49" w:rsidP="00721D41">
            <w:pPr>
              <w:jc w:val="center"/>
              <w:rPr>
                <w:rFonts w:cstheme="minorHAnsi"/>
              </w:rPr>
            </w:pPr>
            <w:r>
              <w:rPr>
                <w:rFonts w:cstheme="minorHAnsi"/>
              </w:rPr>
              <w:t>-3776</w:t>
            </w:r>
          </w:p>
        </w:tc>
      </w:tr>
    </w:tbl>
    <w:p w14:paraId="02456037" w14:textId="4E0C18B2" w:rsidR="007B12D7" w:rsidRDefault="007B12D7" w:rsidP="00FA2AE6">
      <w:pPr>
        <w:spacing w:before="100" w:beforeAutospacing="1" w:after="100" w:afterAutospacing="1"/>
        <w:jc w:val="both"/>
        <w:rPr>
          <w:rFonts w:cstheme="minorHAnsi"/>
        </w:rPr>
      </w:pPr>
      <w:r w:rsidRPr="003D07A2">
        <w:rPr>
          <w:rFonts w:cstheme="minorHAnsi"/>
        </w:rPr>
        <w:t>Sabiedrība kopumā, salīdzinot ar 20</w:t>
      </w:r>
      <w:r w:rsidR="001E5DA4">
        <w:rPr>
          <w:rFonts w:cstheme="minorHAnsi"/>
        </w:rPr>
        <w:t>2</w:t>
      </w:r>
      <w:r w:rsidR="00176BE6">
        <w:rPr>
          <w:rFonts w:cstheme="minorHAnsi"/>
        </w:rPr>
        <w:t>1</w:t>
      </w:r>
      <w:r w:rsidRPr="003D07A2">
        <w:rPr>
          <w:rFonts w:cstheme="minorHAnsi"/>
        </w:rPr>
        <w:t xml:space="preserve">.gadu, ir veikusi par </w:t>
      </w:r>
      <w:r w:rsidR="00D96648">
        <w:rPr>
          <w:rFonts w:cstheme="minorHAnsi"/>
        </w:rPr>
        <w:t>28 577</w:t>
      </w:r>
      <w:r w:rsidR="009A51DF" w:rsidRPr="003D07A2">
        <w:rPr>
          <w:rFonts w:cstheme="minorHAnsi"/>
        </w:rPr>
        <w:t xml:space="preserve"> </w:t>
      </w:r>
      <w:proofErr w:type="spellStart"/>
      <w:r w:rsidRPr="003D07A2">
        <w:rPr>
          <w:rFonts w:cstheme="minorHAnsi"/>
        </w:rPr>
        <w:t>euro</w:t>
      </w:r>
      <w:proofErr w:type="spellEnd"/>
      <w:r w:rsidRPr="003D07A2">
        <w:rPr>
          <w:rFonts w:cstheme="minorHAnsi"/>
        </w:rPr>
        <w:t xml:space="preserve"> ieguldījumu </w:t>
      </w:r>
      <w:r w:rsidR="001E5DA4">
        <w:rPr>
          <w:rFonts w:cstheme="minorHAnsi"/>
        </w:rPr>
        <w:t>mazāk</w:t>
      </w:r>
      <w:r w:rsidRPr="003D07A2">
        <w:rPr>
          <w:rFonts w:cstheme="minorHAnsi"/>
        </w:rPr>
        <w:t xml:space="preserve">, </w:t>
      </w:r>
      <w:r w:rsidR="0027224E">
        <w:rPr>
          <w:rFonts w:cstheme="minorHAnsi"/>
        </w:rPr>
        <w:t xml:space="preserve">kā arī </w:t>
      </w:r>
      <w:r w:rsidR="00772971" w:rsidRPr="003D07A2">
        <w:rPr>
          <w:rFonts w:cstheme="minorHAnsi"/>
        </w:rPr>
        <w:t xml:space="preserve">faktiskā izpilde, salīdzinot ar plānu, ir par </w:t>
      </w:r>
      <w:r w:rsidR="0027224E">
        <w:rPr>
          <w:rFonts w:cstheme="minorHAnsi"/>
        </w:rPr>
        <w:t>63 237</w:t>
      </w:r>
      <w:r w:rsidR="00772971" w:rsidRPr="003D07A2">
        <w:rPr>
          <w:rFonts w:cstheme="minorHAnsi"/>
        </w:rPr>
        <w:t xml:space="preserve"> </w:t>
      </w:r>
      <w:proofErr w:type="spellStart"/>
      <w:r w:rsidR="00772971" w:rsidRPr="003D07A2">
        <w:rPr>
          <w:rFonts w:cstheme="minorHAnsi"/>
        </w:rPr>
        <w:t>euro</w:t>
      </w:r>
      <w:proofErr w:type="spellEnd"/>
      <w:r w:rsidR="00772971" w:rsidRPr="003D07A2">
        <w:rPr>
          <w:rFonts w:cstheme="minorHAnsi"/>
        </w:rPr>
        <w:t xml:space="preserve"> mazāk</w:t>
      </w:r>
      <w:r w:rsidR="0027224E">
        <w:rPr>
          <w:rFonts w:cstheme="minorHAnsi"/>
        </w:rPr>
        <w:t>.</w:t>
      </w:r>
      <w:r w:rsidR="00772971" w:rsidRPr="003D07A2">
        <w:rPr>
          <w:rFonts w:cstheme="minorHAnsi"/>
        </w:rPr>
        <w:t xml:space="preserve"> </w:t>
      </w:r>
      <w:r w:rsidR="001C2307">
        <w:rPr>
          <w:rFonts w:cstheme="minorHAnsi"/>
        </w:rPr>
        <w:t>T</w:t>
      </w:r>
      <w:r w:rsidR="00772971" w:rsidRPr="003D07A2">
        <w:rPr>
          <w:rFonts w:cstheme="minorHAnsi"/>
        </w:rPr>
        <w:t>as pamatā saistīts</w:t>
      </w:r>
      <w:r w:rsidR="004A49EF" w:rsidRPr="003D07A2">
        <w:rPr>
          <w:rFonts w:cstheme="minorHAnsi"/>
        </w:rPr>
        <w:t xml:space="preserve"> </w:t>
      </w:r>
      <w:proofErr w:type="spellStart"/>
      <w:r w:rsidR="001A7697">
        <w:rPr>
          <w:rFonts w:cstheme="minorHAnsi"/>
        </w:rPr>
        <w:t>Psiho</w:t>
      </w:r>
      <w:r w:rsidR="001C2307">
        <w:rPr>
          <w:rFonts w:cstheme="minorHAnsi"/>
        </w:rPr>
        <w:t>sociālās</w:t>
      </w:r>
      <w:proofErr w:type="spellEnd"/>
      <w:r w:rsidR="001A7697">
        <w:rPr>
          <w:rFonts w:cstheme="minorHAnsi"/>
        </w:rPr>
        <w:t xml:space="preserve"> </w:t>
      </w:r>
      <w:r w:rsidR="00934362">
        <w:rPr>
          <w:rFonts w:cstheme="minorHAnsi"/>
        </w:rPr>
        <w:t xml:space="preserve">rehabilitācijas </w:t>
      </w:r>
      <w:r w:rsidR="001A7697">
        <w:rPr>
          <w:rFonts w:cstheme="minorHAnsi"/>
        </w:rPr>
        <w:t>ēkas rekonstrukcijas projektēšanas</w:t>
      </w:r>
      <w:r w:rsidR="00934362">
        <w:rPr>
          <w:rFonts w:cstheme="minorHAnsi"/>
        </w:rPr>
        <w:t xml:space="preserve"> pabeigšanas kavēšanos</w:t>
      </w:r>
      <w:r w:rsidR="00772971" w:rsidRPr="003D07A2">
        <w:rPr>
          <w:rFonts w:cstheme="minorHAnsi"/>
        </w:rPr>
        <w:t xml:space="preserve">. </w:t>
      </w:r>
    </w:p>
    <w:p w14:paraId="6E3432B2" w14:textId="77777777" w:rsidR="00CC3FF2" w:rsidRDefault="00B65885" w:rsidP="002978D0">
      <w:pPr>
        <w:spacing w:after="0"/>
        <w:rPr>
          <w:rFonts w:cstheme="minorHAnsi"/>
        </w:rPr>
      </w:pPr>
      <w:r>
        <w:rPr>
          <w:rFonts w:cstheme="minorHAnsi"/>
        </w:rPr>
        <w:t xml:space="preserve">Tehnoloģisko iekārtu sastāvā </w:t>
      </w:r>
      <w:r w:rsidR="00D4540D">
        <w:rPr>
          <w:rFonts w:cstheme="minorHAnsi"/>
        </w:rPr>
        <w:t xml:space="preserve">iekļauta </w:t>
      </w:r>
      <w:proofErr w:type="spellStart"/>
      <w:r w:rsidR="00D4540D">
        <w:rPr>
          <w:rFonts w:cstheme="minorHAnsi"/>
        </w:rPr>
        <w:t>d</w:t>
      </w:r>
      <w:r w:rsidRPr="00B65885">
        <w:rPr>
          <w:rFonts w:cstheme="minorHAnsi"/>
        </w:rPr>
        <w:t>efibrilatora</w:t>
      </w:r>
      <w:proofErr w:type="spellEnd"/>
      <w:r w:rsidRPr="00B65885">
        <w:rPr>
          <w:rFonts w:cstheme="minorHAnsi"/>
        </w:rPr>
        <w:t xml:space="preserve"> iegāde</w:t>
      </w:r>
      <w:r w:rsidR="00D4540D">
        <w:rPr>
          <w:rFonts w:cstheme="minorHAnsi"/>
        </w:rPr>
        <w:t xml:space="preserve">, </w:t>
      </w:r>
      <w:r w:rsidR="001A6540">
        <w:rPr>
          <w:rFonts w:cstheme="minorHAnsi"/>
        </w:rPr>
        <w:t>iepirkums</w:t>
      </w:r>
      <w:r w:rsidRPr="00B65885">
        <w:rPr>
          <w:rFonts w:cstheme="minorHAnsi"/>
        </w:rPr>
        <w:t xml:space="preserve"> uzsākt</w:t>
      </w:r>
      <w:r w:rsidR="001A6540">
        <w:rPr>
          <w:rFonts w:cstheme="minorHAnsi"/>
        </w:rPr>
        <w:t>s</w:t>
      </w:r>
      <w:r w:rsidRPr="00B65885">
        <w:rPr>
          <w:rFonts w:cstheme="minorHAnsi"/>
        </w:rPr>
        <w:t xml:space="preserve"> 12.2021., iekārta piegādāta 2022.gadā saskaņā ar VM dalībn</w:t>
      </w:r>
      <w:r w:rsidR="001A6540">
        <w:rPr>
          <w:rFonts w:cstheme="minorHAnsi"/>
        </w:rPr>
        <w:t xml:space="preserve">ieku </w:t>
      </w:r>
      <w:r w:rsidRPr="00B65885">
        <w:rPr>
          <w:rFonts w:cstheme="minorHAnsi"/>
        </w:rPr>
        <w:t xml:space="preserve">sapulces lēmumu 23.12.2021., protokols Nr.01-27.5.5/4 (+26502 </w:t>
      </w:r>
      <w:proofErr w:type="spellStart"/>
      <w:r w:rsidRPr="00B65885">
        <w:rPr>
          <w:rFonts w:cstheme="minorHAnsi"/>
        </w:rPr>
        <w:t>euro</w:t>
      </w:r>
      <w:proofErr w:type="spellEnd"/>
      <w:r w:rsidRPr="00B65885">
        <w:rPr>
          <w:rFonts w:cstheme="minorHAnsi"/>
        </w:rPr>
        <w:t>, par pasākumiem VA kapacitātes stiprināšanai COVID-19 pacientu ārstēšanas procesā).</w:t>
      </w:r>
    </w:p>
    <w:p w14:paraId="28E95A3A" w14:textId="77777777" w:rsidR="0066262A" w:rsidRDefault="0066262A" w:rsidP="002978D0">
      <w:pPr>
        <w:spacing w:after="0"/>
        <w:rPr>
          <w:rFonts w:cstheme="minorHAnsi"/>
        </w:rPr>
      </w:pPr>
    </w:p>
    <w:p w14:paraId="6D09A686" w14:textId="5D83EB5E" w:rsidR="002978D0" w:rsidRPr="003D07A2" w:rsidRDefault="008D79D0" w:rsidP="002978D0">
      <w:pPr>
        <w:spacing w:after="0"/>
        <w:rPr>
          <w:rFonts w:cstheme="minorHAnsi"/>
          <w:b/>
          <w:bCs/>
        </w:rPr>
      </w:pPr>
      <w:r w:rsidRPr="003D07A2">
        <w:rPr>
          <w:rFonts w:cstheme="minorHAnsi"/>
          <w:b/>
          <w:bCs/>
        </w:rPr>
        <w:t>Veselības aprūpes pakalpojumu īstenošana</w:t>
      </w:r>
    </w:p>
    <w:p w14:paraId="2EE7C50D" w14:textId="71B12EA6" w:rsidR="002978D0" w:rsidRPr="003D07A2" w:rsidRDefault="009C2945" w:rsidP="00FA2AE6">
      <w:pPr>
        <w:spacing w:before="100" w:beforeAutospacing="1" w:after="100" w:afterAutospacing="1"/>
        <w:jc w:val="both"/>
        <w:rPr>
          <w:rFonts w:cstheme="minorHAnsi"/>
        </w:rPr>
      </w:pPr>
      <w:r w:rsidRPr="003D07A2">
        <w:rPr>
          <w:rFonts w:cstheme="minorHAnsi"/>
        </w:rPr>
        <w:t>VSIA “Slimnīca “Ģintermuiža””</w:t>
      </w:r>
      <w:r w:rsidR="00C06C05" w:rsidRPr="003D07A2">
        <w:rPr>
          <w:rFonts w:cstheme="minorHAnsi"/>
        </w:rPr>
        <w:t xml:space="preserve"> </w:t>
      </w:r>
      <w:r w:rsidRPr="003D07A2">
        <w:rPr>
          <w:rFonts w:cstheme="minorHAnsi"/>
        </w:rPr>
        <w:t>2020. -</w:t>
      </w:r>
      <w:r w:rsidR="00F45722" w:rsidRPr="003D07A2">
        <w:rPr>
          <w:rFonts w:cstheme="minorHAnsi"/>
        </w:rPr>
        <w:t xml:space="preserve"> </w:t>
      </w:r>
      <w:r w:rsidRPr="003D07A2">
        <w:rPr>
          <w:rFonts w:cstheme="minorHAnsi"/>
        </w:rPr>
        <w:t>2022. gada darbības stratēģiskais mērķis ir saglabāt, uzlabot un atjaunot iedzīvotāju psihisko veselību, nodrošinot kvalitatīvu, efektīvu, uz pacientu vērstu psihiatrijas un narkoloģijas pakalpojumu sniegšanu Zemgales un Kurzemes reģiona iedzīvotājiem, tajā skaitā bērniem.</w:t>
      </w:r>
    </w:p>
    <w:p w14:paraId="0C7F5493" w14:textId="697EBEDB" w:rsidR="001739AA" w:rsidRPr="003D07A2" w:rsidRDefault="006B69E7" w:rsidP="00FA2AE6">
      <w:pPr>
        <w:spacing w:before="100" w:beforeAutospacing="1" w:after="100" w:afterAutospacing="1"/>
        <w:jc w:val="both"/>
        <w:rPr>
          <w:rFonts w:cstheme="minorHAnsi"/>
        </w:rPr>
      </w:pPr>
      <w:r w:rsidRPr="003D07A2">
        <w:rPr>
          <w:rFonts w:cstheme="minorHAnsi"/>
        </w:rPr>
        <w:t xml:space="preserve">Slimnīca saskaņā ar noslēgto līgumu ar </w:t>
      </w:r>
      <w:r w:rsidR="001579A3" w:rsidRPr="003D07A2">
        <w:rPr>
          <w:rFonts w:cstheme="minorHAnsi"/>
        </w:rPr>
        <w:t>N</w:t>
      </w:r>
      <w:r w:rsidRPr="003D07A2">
        <w:rPr>
          <w:rFonts w:cstheme="minorHAnsi"/>
        </w:rPr>
        <w:t xml:space="preserve">acionālo veselības dienestu saņem fiksēto maksājumu par uzņemšanas nodaļas darbību un piemaksu par observācijas gultu uzturēšanu. Pārskata periodā </w:t>
      </w:r>
      <w:r w:rsidR="004C21C0">
        <w:rPr>
          <w:rFonts w:cstheme="minorHAnsi"/>
        </w:rPr>
        <w:t>1793</w:t>
      </w:r>
      <w:r w:rsidR="007D2D76">
        <w:rPr>
          <w:rFonts w:cstheme="minorHAnsi"/>
        </w:rPr>
        <w:t xml:space="preserve"> (2021.gad</w:t>
      </w:r>
      <w:r w:rsidR="0093423D">
        <w:rPr>
          <w:rFonts w:cstheme="minorHAnsi"/>
        </w:rPr>
        <w:t xml:space="preserve">ā </w:t>
      </w:r>
      <w:r w:rsidR="00307DD3">
        <w:rPr>
          <w:rFonts w:cstheme="minorHAnsi"/>
        </w:rPr>
        <w:t>1568</w:t>
      </w:r>
      <w:r w:rsidR="0093423D">
        <w:rPr>
          <w:rFonts w:cstheme="minorHAnsi"/>
        </w:rPr>
        <w:t>)</w:t>
      </w:r>
      <w:r w:rsidRPr="003D07A2">
        <w:rPr>
          <w:rFonts w:cstheme="minorHAnsi"/>
        </w:rPr>
        <w:t xml:space="preserve"> pacienti vērsušies uzņemšanas nodaļā pēc medicīniskās palīdzības, no tiem </w:t>
      </w:r>
      <w:r w:rsidR="00DC27BF">
        <w:rPr>
          <w:rFonts w:cstheme="minorHAnsi"/>
        </w:rPr>
        <w:t>94</w:t>
      </w:r>
      <w:r w:rsidR="009C6EAE">
        <w:rPr>
          <w:rFonts w:cstheme="minorHAnsi"/>
        </w:rPr>
        <w:t xml:space="preserve"> (2021.gadā </w:t>
      </w:r>
      <w:r w:rsidR="00DC27BF">
        <w:rPr>
          <w:rFonts w:cstheme="minorHAnsi"/>
        </w:rPr>
        <w:t>96</w:t>
      </w:r>
      <w:r w:rsidR="009C6EAE">
        <w:rPr>
          <w:rFonts w:cstheme="minorHAnsi"/>
        </w:rPr>
        <w:t>)</w:t>
      </w:r>
      <w:r w:rsidRPr="003D07A2">
        <w:rPr>
          <w:rFonts w:cstheme="minorHAnsi"/>
        </w:rPr>
        <w:t xml:space="preserve"> sniegta neatliekamā medicīniskā palīdzība un tie novirzīti turpmākai ambulatorai ārstēšanai. </w:t>
      </w:r>
      <w:r w:rsidR="005320B4">
        <w:rPr>
          <w:rFonts w:cstheme="minorHAnsi"/>
        </w:rPr>
        <w:t>38</w:t>
      </w:r>
      <w:r w:rsidR="003B6F4C">
        <w:rPr>
          <w:rFonts w:cstheme="minorHAnsi"/>
        </w:rPr>
        <w:t xml:space="preserve"> (2021. gadā </w:t>
      </w:r>
      <w:r w:rsidR="005320B4">
        <w:rPr>
          <w:rFonts w:cstheme="minorHAnsi"/>
        </w:rPr>
        <w:t>28</w:t>
      </w:r>
      <w:r w:rsidR="003B6F4C">
        <w:rPr>
          <w:rFonts w:cstheme="minorHAnsi"/>
        </w:rPr>
        <w:t>)</w:t>
      </w:r>
      <w:r w:rsidRPr="003D07A2">
        <w:rPr>
          <w:rFonts w:cstheme="minorHAnsi"/>
        </w:rPr>
        <w:t xml:space="preserve"> pacientiem nodrošināts observācijas pakalpojums, no tiem </w:t>
      </w:r>
      <w:r w:rsidR="005320B4">
        <w:rPr>
          <w:rFonts w:cstheme="minorHAnsi"/>
        </w:rPr>
        <w:t>9</w:t>
      </w:r>
      <w:r w:rsidRPr="003D07A2">
        <w:rPr>
          <w:rFonts w:cstheme="minorHAnsi"/>
        </w:rPr>
        <w:t xml:space="preserve"> pēc observācijas </w:t>
      </w:r>
      <w:proofErr w:type="spellStart"/>
      <w:r w:rsidRPr="003D07A2">
        <w:rPr>
          <w:rFonts w:cstheme="minorHAnsi"/>
        </w:rPr>
        <w:t>stacionēti</w:t>
      </w:r>
      <w:proofErr w:type="spellEnd"/>
      <w:r w:rsidRPr="003D07A2">
        <w:rPr>
          <w:rFonts w:cstheme="minorHAnsi"/>
        </w:rPr>
        <w:t xml:space="preserve"> diennakts stacionārā.</w:t>
      </w:r>
      <w:r w:rsidR="002239F0" w:rsidRPr="003D07A2">
        <w:rPr>
          <w:rFonts w:cstheme="minorHAnsi"/>
        </w:rPr>
        <w:t xml:space="preserve"> </w:t>
      </w:r>
    </w:p>
    <w:p w14:paraId="0BDC3E82" w14:textId="55E676CB" w:rsidR="006B69E7" w:rsidRPr="003D07A2" w:rsidRDefault="002239F0" w:rsidP="00FA2AE6">
      <w:pPr>
        <w:spacing w:before="100" w:beforeAutospacing="1" w:after="100" w:afterAutospacing="1"/>
        <w:jc w:val="both"/>
        <w:rPr>
          <w:rFonts w:cstheme="minorHAnsi"/>
        </w:rPr>
      </w:pPr>
      <w:r w:rsidRPr="003D07A2">
        <w:rPr>
          <w:rFonts w:cstheme="minorHAnsi"/>
        </w:rPr>
        <w:t>202</w:t>
      </w:r>
      <w:r w:rsidR="009F6EBF">
        <w:rPr>
          <w:rFonts w:cstheme="minorHAnsi"/>
        </w:rPr>
        <w:t>2</w:t>
      </w:r>
      <w:r w:rsidRPr="003D07A2">
        <w:rPr>
          <w:rFonts w:cstheme="minorHAnsi"/>
        </w:rPr>
        <w:t>.gada</w:t>
      </w:r>
      <w:r w:rsidR="009F6EBF">
        <w:rPr>
          <w:rFonts w:cstheme="minorHAnsi"/>
        </w:rPr>
        <w:t xml:space="preserve"> pārskata periodā</w:t>
      </w:r>
      <w:r w:rsidR="0052610E">
        <w:rPr>
          <w:rFonts w:cstheme="minorHAnsi"/>
        </w:rPr>
        <w:t>, salīdzinot ar 2021.gadu, pieaug pacientu plūsma</w:t>
      </w:r>
      <w:r w:rsidRPr="003D07A2">
        <w:rPr>
          <w:rFonts w:cstheme="minorHAnsi"/>
        </w:rPr>
        <w:t xml:space="preserve"> diennakts stacionār</w:t>
      </w:r>
      <w:r w:rsidR="0052610E">
        <w:rPr>
          <w:rFonts w:cstheme="minorHAnsi"/>
        </w:rPr>
        <w:t>ā.</w:t>
      </w:r>
      <w:r w:rsidRPr="003D07A2">
        <w:rPr>
          <w:rFonts w:cstheme="minorHAnsi"/>
        </w:rPr>
        <w:t xml:space="preserve"> </w:t>
      </w:r>
    </w:p>
    <w:p w14:paraId="2FEBF68C" w14:textId="7B9FDCF3" w:rsidR="00BA356A" w:rsidRPr="003D07A2" w:rsidRDefault="007B2D77" w:rsidP="00FA2AE6">
      <w:pPr>
        <w:spacing w:before="100" w:beforeAutospacing="1" w:after="100" w:afterAutospacing="1"/>
        <w:jc w:val="center"/>
        <w:rPr>
          <w:rFonts w:cstheme="minorHAnsi"/>
          <w:b/>
          <w:bCs/>
        </w:rPr>
      </w:pPr>
      <w:r w:rsidRPr="003D07A2">
        <w:rPr>
          <w:rFonts w:cstheme="minorHAnsi"/>
          <w:b/>
          <w:bCs/>
        </w:rPr>
        <w:t>Diennakts stacionāra līguma izpilde</w:t>
      </w:r>
    </w:p>
    <w:tbl>
      <w:tblPr>
        <w:tblStyle w:val="Reatabula"/>
        <w:tblW w:w="8589" w:type="dxa"/>
        <w:tblLook w:val="04A0" w:firstRow="1" w:lastRow="0" w:firstColumn="1" w:lastColumn="0" w:noHBand="0" w:noVBand="1"/>
      </w:tblPr>
      <w:tblGrid>
        <w:gridCol w:w="3150"/>
        <w:gridCol w:w="1381"/>
        <w:gridCol w:w="1418"/>
        <w:gridCol w:w="1482"/>
        <w:gridCol w:w="1158"/>
      </w:tblGrid>
      <w:tr w:rsidR="00137EBF" w:rsidRPr="003D07A2" w14:paraId="430C70E7" w14:textId="77777777" w:rsidTr="0046609C">
        <w:trPr>
          <w:trHeight w:val="530"/>
        </w:trPr>
        <w:tc>
          <w:tcPr>
            <w:tcW w:w="3150" w:type="dxa"/>
            <w:hideMark/>
          </w:tcPr>
          <w:p w14:paraId="0A5E18ED" w14:textId="77777777"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NVD līguma stacionārās veselības aprūpes programmas</w:t>
            </w:r>
          </w:p>
        </w:tc>
        <w:tc>
          <w:tcPr>
            <w:tcW w:w="1381" w:type="dxa"/>
          </w:tcPr>
          <w:p w14:paraId="56EEFB30" w14:textId="7EBFEE1C"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w:t>
            </w:r>
            <w:r w:rsidR="005362F9">
              <w:rPr>
                <w:rFonts w:eastAsia="Times New Roman" w:cstheme="minorHAnsi"/>
                <w:color w:val="000000"/>
                <w:lang w:eastAsia="lv-LV"/>
              </w:rPr>
              <w:t>2</w:t>
            </w:r>
            <w:r w:rsidR="008A6332">
              <w:rPr>
                <w:rFonts w:eastAsia="Times New Roman" w:cstheme="minorHAnsi"/>
                <w:color w:val="000000"/>
                <w:lang w:eastAsia="lv-LV"/>
              </w:rPr>
              <w:t>1</w:t>
            </w:r>
            <w:r w:rsidRPr="003D07A2">
              <w:rPr>
                <w:rFonts w:eastAsia="Times New Roman" w:cstheme="minorHAnsi"/>
                <w:color w:val="000000"/>
                <w:lang w:eastAsia="lv-LV"/>
              </w:rPr>
              <w:t>.gadā</w:t>
            </w:r>
          </w:p>
        </w:tc>
        <w:tc>
          <w:tcPr>
            <w:tcW w:w="1418" w:type="dxa"/>
            <w:hideMark/>
          </w:tcPr>
          <w:p w14:paraId="29273808" w14:textId="6210C2E1"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Plānotais pacientu skaits līgumā 202</w:t>
            </w:r>
            <w:r w:rsidR="008A6332">
              <w:rPr>
                <w:rFonts w:eastAsia="Times New Roman" w:cstheme="minorHAnsi"/>
                <w:color w:val="000000"/>
                <w:lang w:eastAsia="lv-LV"/>
              </w:rPr>
              <w:t>2</w:t>
            </w:r>
            <w:r w:rsidRPr="003D07A2">
              <w:rPr>
                <w:rFonts w:eastAsia="Times New Roman" w:cstheme="minorHAnsi"/>
                <w:color w:val="000000"/>
                <w:lang w:eastAsia="lv-LV"/>
              </w:rPr>
              <w:t xml:space="preserve">.gadā </w:t>
            </w:r>
          </w:p>
        </w:tc>
        <w:tc>
          <w:tcPr>
            <w:tcW w:w="1482" w:type="dxa"/>
          </w:tcPr>
          <w:p w14:paraId="609D4B58" w14:textId="0400FB65" w:rsidR="00137EBF" w:rsidRPr="003D07A2" w:rsidRDefault="00137EBF" w:rsidP="003747C0">
            <w:pPr>
              <w:spacing w:line="276" w:lineRule="auto"/>
              <w:jc w:val="center"/>
              <w:rPr>
                <w:rFonts w:eastAsia="Times New Roman" w:cstheme="minorHAnsi"/>
                <w:color w:val="000000"/>
                <w:lang w:eastAsia="lv-LV"/>
              </w:rPr>
            </w:pPr>
            <w:r w:rsidRPr="003D07A2">
              <w:rPr>
                <w:rFonts w:eastAsia="Times New Roman" w:cstheme="minorHAnsi"/>
                <w:color w:val="000000"/>
                <w:lang w:eastAsia="lv-LV"/>
              </w:rPr>
              <w:t>Faktiski ārstēto pacientu skaits 202</w:t>
            </w:r>
            <w:r w:rsidR="008A6332">
              <w:rPr>
                <w:rFonts w:eastAsia="Times New Roman" w:cstheme="minorHAnsi"/>
                <w:color w:val="000000"/>
                <w:lang w:eastAsia="lv-LV"/>
              </w:rPr>
              <w:t>2</w:t>
            </w:r>
            <w:r w:rsidRPr="003D07A2">
              <w:rPr>
                <w:rFonts w:eastAsia="Times New Roman" w:cstheme="minorHAnsi"/>
                <w:color w:val="000000"/>
                <w:lang w:eastAsia="lv-LV"/>
              </w:rPr>
              <w:t>.gadā</w:t>
            </w:r>
          </w:p>
        </w:tc>
        <w:tc>
          <w:tcPr>
            <w:tcW w:w="1158" w:type="dxa"/>
          </w:tcPr>
          <w:p w14:paraId="0D6050E7" w14:textId="3852FC71" w:rsidR="00137EBF" w:rsidRPr="003D07A2" w:rsidRDefault="00137EBF" w:rsidP="003747C0">
            <w:pPr>
              <w:spacing w:line="276" w:lineRule="auto"/>
              <w:jc w:val="center"/>
              <w:rPr>
                <w:rFonts w:eastAsia="Times New Roman" w:cstheme="minorHAnsi"/>
                <w:color w:val="000000"/>
                <w:lang w:eastAsia="lv-LV"/>
              </w:rPr>
            </w:pPr>
            <w:r w:rsidRPr="003D07A2">
              <w:rPr>
                <w:rFonts w:cstheme="minorHAnsi"/>
              </w:rPr>
              <w:t>Novirze pret 20</w:t>
            </w:r>
            <w:r w:rsidR="005362F9">
              <w:rPr>
                <w:rFonts w:cstheme="minorHAnsi"/>
              </w:rPr>
              <w:t>2</w:t>
            </w:r>
            <w:r w:rsidR="008A6332">
              <w:rPr>
                <w:rFonts w:cstheme="minorHAnsi"/>
              </w:rPr>
              <w:t>1</w:t>
            </w:r>
            <w:r w:rsidRPr="003D07A2">
              <w:rPr>
                <w:rFonts w:cstheme="minorHAnsi"/>
              </w:rPr>
              <w:t>.gadu</w:t>
            </w:r>
          </w:p>
        </w:tc>
      </w:tr>
      <w:tr w:rsidR="00CB29F7" w:rsidRPr="003D07A2" w14:paraId="50B444D8" w14:textId="77777777" w:rsidTr="0046609C">
        <w:trPr>
          <w:trHeight w:val="427"/>
        </w:trPr>
        <w:tc>
          <w:tcPr>
            <w:tcW w:w="3150" w:type="dxa"/>
            <w:vAlign w:val="center"/>
            <w:hideMark/>
          </w:tcPr>
          <w:p w14:paraId="4F543698"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tai skaitā pēc tiesas lēmuma</w:t>
            </w:r>
          </w:p>
        </w:tc>
        <w:tc>
          <w:tcPr>
            <w:tcW w:w="1381" w:type="dxa"/>
            <w:vAlign w:val="center"/>
          </w:tcPr>
          <w:p w14:paraId="6CBF358A" w14:textId="7338C928"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811</w:t>
            </w:r>
          </w:p>
        </w:tc>
        <w:tc>
          <w:tcPr>
            <w:tcW w:w="1418" w:type="dxa"/>
            <w:vAlign w:val="center"/>
          </w:tcPr>
          <w:p w14:paraId="7E75E48B" w14:textId="21039682" w:rsidR="00CB29F7" w:rsidRPr="003D07A2" w:rsidRDefault="00343774" w:rsidP="00CB29F7">
            <w:pPr>
              <w:spacing w:line="276" w:lineRule="auto"/>
              <w:jc w:val="center"/>
              <w:rPr>
                <w:rFonts w:eastAsia="Times New Roman" w:cstheme="minorHAnsi"/>
                <w:lang w:eastAsia="lv-LV"/>
              </w:rPr>
            </w:pPr>
            <w:r>
              <w:rPr>
                <w:rFonts w:eastAsia="Times New Roman" w:cstheme="minorHAnsi"/>
                <w:lang w:eastAsia="lv-LV"/>
              </w:rPr>
              <w:t>1020</w:t>
            </w:r>
          </w:p>
        </w:tc>
        <w:tc>
          <w:tcPr>
            <w:tcW w:w="1482" w:type="dxa"/>
            <w:vAlign w:val="center"/>
          </w:tcPr>
          <w:p w14:paraId="0BCD9A9E" w14:textId="35E303FC" w:rsidR="00CB29F7" w:rsidRPr="003D07A2" w:rsidRDefault="00422E36" w:rsidP="00CB29F7">
            <w:pPr>
              <w:spacing w:line="276" w:lineRule="auto"/>
              <w:jc w:val="center"/>
              <w:rPr>
                <w:rFonts w:eastAsia="Times New Roman" w:cstheme="minorHAnsi"/>
                <w:color w:val="000000"/>
                <w:lang w:eastAsia="lv-LV"/>
              </w:rPr>
            </w:pPr>
            <w:r>
              <w:rPr>
                <w:rFonts w:eastAsia="Times New Roman" w:cstheme="minorHAnsi"/>
                <w:color w:val="000000"/>
                <w:lang w:eastAsia="lv-LV"/>
              </w:rPr>
              <w:t>1024</w:t>
            </w:r>
          </w:p>
        </w:tc>
        <w:tc>
          <w:tcPr>
            <w:tcW w:w="1158" w:type="dxa"/>
            <w:vAlign w:val="center"/>
          </w:tcPr>
          <w:p w14:paraId="69B14516" w14:textId="64075439"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5E2D36">
              <w:rPr>
                <w:rFonts w:eastAsia="Times New Roman" w:cstheme="minorHAnsi"/>
                <w:color w:val="000000"/>
                <w:lang w:eastAsia="lv-LV"/>
              </w:rPr>
              <w:t>213</w:t>
            </w:r>
          </w:p>
        </w:tc>
      </w:tr>
      <w:tr w:rsidR="00CB29F7" w:rsidRPr="003D07A2" w14:paraId="1ACACFEF" w14:textId="77777777" w:rsidTr="0046609C">
        <w:trPr>
          <w:trHeight w:val="179"/>
        </w:trPr>
        <w:tc>
          <w:tcPr>
            <w:tcW w:w="3150" w:type="dxa"/>
            <w:vAlign w:val="center"/>
            <w:hideMark/>
          </w:tcPr>
          <w:p w14:paraId="2EC1E2DE"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Psihiatriskā palīdzība bērniem</w:t>
            </w:r>
          </w:p>
        </w:tc>
        <w:tc>
          <w:tcPr>
            <w:tcW w:w="1381" w:type="dxa"/>
            <w:vAlign w:val="center"/>
          </w:tcPr>
          <w:p w14:paraId="5F2934AA" w14:textId="19F84080"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172</w:t>
            </w:r>
          </w:p>
        </w:tc>
        <w:tc>
          <w:tcPr>
            <w:tcW w:w="1418" w:type="dxa"/>
            <w:vAlign w:val="center"/>
          </w:tcPr>
          <w:p w14:paraId="4AD64BAD" w14:textId="78892FDE" w:rsidR="00CB29F7" w:rsidRPr="003D07A2" w:rsidRDefault="00343774" w:rsidP="00CB29F7">
            <w:pPr>
              <w:spacing w:line="276" w:lineRule="auto"/>
              <w:jc w:val="center"/>
              <w:rPr>
                <w:rFonts w:eastAsia="Times New Roman" w:cstheme="minorHAnsi"/>
                <w:lang w:eastAsia="lv-LV"/>
              </w:rPr>
            </w:pPr>
            <w:r>
              <w:rPr>
                <w:rFonts w:eastAsia="Times New Roman" w:cstheme="minorHAnsi"/>
                <w:lang w:eastAsia="lv-LV"/>
              </w:rPr>
              <w:t>177</w:t>
            </w:r>
          </w:p>
        </w:tc>
        <w:tc>
          <w:tcPr>
            <w:tcW w:w="1482" w:type="dxa"/>
            <w:vAlign w:val="center"/>
          </w:tcPr>
          <w:p w14:paraId="1A221799" w14:textId="3C395D97" w:rsidR="00CB29F7" w:rsidRPr="003D07A2" w:rsidRDefault="00422E36" w:rsidP="00CB29F7">
            <w:pPr>
              <w:spacing w:line="276" w:lineRule="auto"/>
              <w:jc w:val="center"/>
              <w:rPr>
                <w:rFonts w:eastAsia="Times New Roman" w:cstheme="minorHAnsi"/>
                <w:color w:val="000000"/>
                <w:lang w:eastAsia="lv-LV"/>
              </w:rPr>
            </w:pPr>
            <w:r>
              <w:rPr>
                <w:rFonts w:eastAsia="Times New Roman" w:cstheme="minorHAnsi"/>
                <w:color w:val="000000"/>
                <w:lang w:eastAsia="lv-LV"/>
              </w:rPr>
              <w:t>205</w:t>
            </w:r>
          </w:p>
        </w:tc>
        <w:tc>
          <w:tcPr>
            <w:tcW w:w="1158" w:type="dxa"/>
            <w:vAlign w:val="center"/>
          </w:tcPr>
          <w:p w14:paraId="28F003B4" w14:textId="4B413FD8"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5E2D36">
              <w:rPr>
                <w:rFonts w:eastAsia="Times New Roman" w:cstheme="minorHAnsi"/>
                <w:color w:val="000000"/>
                <w:lang w:eastAsia="lv-LV"/>
              </w:rPr>
              <w:t>33</w:t>
            </w:r>
          </w:p>
        </w:tc>
      </w:tr>
      <w:tr w:rsidR="00CB29F7" w:rsidRPr="003D07A2" w14:paraId="21C00247" w14:textId="77777777" w:rsidTr="0046609C">
        <w:trPr>
          <w:trHeight w:val="156"/>
        </w:trPr>
        <w:tc>
          <w:tcPr>
            <w:tcW w:w="3150" w:type="dxa"/>
            <w:vAlign w:val="center"/>
            <w:hideMark/>
          </w:tcPr>
          <w:p w14:paraId="7197B87F"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Narkoloģija</w:t>
            </w:r>
          </w:p>
        </w:tc>
        <w:tc>
          <w:tcPr>
            <w:tcW w:w="1381" w:type="dxa"/>
            <w:vAlign w:val="center"/>
          </w:tcPr>
          <w:p w14:paraId="648DD493" w14:textId="1DDB5409"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221</w:t>
            </w:r>
          </w:p>
        </w:tc>
        <w:tc>
          <w:tcPr>
            <w:tcW w:w="1418" w:type="dxa"/>
            <w:vAlign w:val="center"/>
          </w:tcPr>
          <w:p w14:paraId="3020EFBC" w14:textId="1DADA7EC" w:rsidR="00CB29F7" w:rsidRPr="003D07A2" w:rsidRDefault="00343774" w:rsidP="00CB29F7">
            <w:pPr>
              <w:spacing w:line="276" w:lineRule="auto"/>
              <w:jc w:val="center"/>
              <w:rPr>
                <w:rFonts w:eastAsia="Times New Roman" w:cstheme="minorHAnsi"/>
                <w:lang w:eastAsia="lv-LV"/>
              </w:rPr>
            </w:pPr>
            <w:r>
              <w:rPr>
                <w:rFonts w:eastAsia="Times New Roman" w:cstheme="minorHAnsi"/>
                <w:lang w:eastAsia="lv-LV"/>
              </w:rPr>
              <w:t>272</w:t>
            </w:r>
          </w:p>
        </w:tc>
        <w:tc>
          <w:tcPr>
            <w:tcW w:w="1482" w:type="dxa"/>
            <w:vAlign w:val="center"/>
          </w:tcPr>
          <w:p w14:paraId="7A99BB16" w14:textId="16B4C8BC" w:rsidR="00CB29F7" w:rsidRPr="003D07A2" w:rsidRDefault="00422E36" w:rsidP="00CB29F7">
            <w:pPr>
              <w:spacing w:line="276" w:lineRule="auto"/>
              <w:jc w:val="center"/>
              <w:rPr>
                <w:rFonts w:eastAsia="Times New Roman" w:cstheme="minorHAnsi"/>
                <w:color w:val="000000"/>
                <w:lang w:eastAsia="lv-LV"/>
              </w:rPr>
            </w:pPr>
            <w:r>
              <w:rPr>
                <w:rFonts w:eastAsia="Times New Roman" w:cstheme="minorHAnsi"/>
                <w:color w:val="000000"/>
                <w:lang w:eastAsia="lv-LV"/>
              </w:rPr>
              <w:t>287</w:t>
            </w:r>
          </w:p>
        </w:tc>
        <w:tc>
          <w:tcPr>
            <w:tcW w:w="1158" w:type="dxa"/>
            <w:vAlign w:val="center"/>
          </w:tcPr>
          <w:p w14:paraId="76AB393E" w14:textId="3045D904"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5E2D36">
              <w:rPr>
                <w:rFonts w:eastAsia="Times New Roman" w:cstheme="minorHAnsi"/>
                <w:color w:val="000000"/>
                <w:lang w:eastAsia="lv-LV"/>
              </w:rPr>
              <w:t>66</w:t>
            </w:r>
          </w:p>
        </w:tc>
      </w:tr>
      <w:tr w:rsidR="00CB29F7" w:rsidRPr="003D07A2" w14:paraId="2C23E992" w14:textId="77777777" w:rsidTr="0046609C">
        <w:trPr>
          <w:trHeight w:val="331"/>
        </w:trPr>
        <w:tc>
          <w:tcPr>
            <w:tcW w:w="3150" w:type="dxa"/>
            <w:vAlign w:val="center"/>
            <w:hideMark/>
          </w:tcPr>
          <w:p w14:paraId="5E240FEB"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(pieaugušajiem)</w:t>
            </w:r>
          </w:p>
        </w:tc>
        <w:tc>
          <w:tcPr>
            <w:tcW w:w="1381" w:type="dxa"/>
            <w:vAlign w:val="center"/>
          </w:tcPr>
          <w:p w14:paraId="28839811" w14:textId="121080DC"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12</w:t>
            </w:r>
          </w:p>
        </w:tc>
        <w:tc>
          <w:tcPr>
            <w:tcW w:w="1418" w:type="dxa"/>
            <w:vAlign w:val="center"/>
          </w:tcPr>
          <w:p w14:paraId="5B6D9B04" w14:textId="5EC00313" w:rsidR="00CB29F7" w:rsidRPr="003D07A2" w:rsidRDefault="003902AE" w:rsidP="00CB29F7">
            <w:pPr>
              <w:spacing w:line="276" w:lineRule="auto"/>
              <w:jc w:val="center"/>
              <w:rPr>
                <w:rFonts w:eastAsia="Times New Roman" w:cstheme="minorHAnsi"/>
                <w:lang w:eastAsia="lv-LV"/>
              </w:rPr>
            </w:pPr>
            <w:r>
              <w:rPr>
                <w:rFonts w:eastAsia="Times New Roman" w:cstheme="minorHAnsi"/>
                <w:lang w:eastAsia="lv-LV"/>
              </w:rPr>
              <w:t>15</w:t>
            </w:r>
          </w:p>
        </w:tc>
        <w:tc>
          <w:tcPr>
            <w:tcW w:w="1482" w:type="dxa"/>
            <w:vAlign w:val="center"/>
          </w:tcPr>
          <w:p w14:paraId="16E0D64D" w14:textId="7FD266DA" w:rsidR="00CB29F7" w:rsidRPr="003D07A2" w:rsidRDefault="009343F1" w:rsidP="00CB29F7">
            <w:pPr>
              <w:spacing w:line="276" w:lineRule="auto"/>
              <w:jc w:val="center"/>
              <w:rPr>
                <w:rFonts w:eastAsia="Times New Roman" w:cstheme="minorHAnsi"/>
                <w:color w:val="000000"/>
                <w:lang w:eastAsia="lv-LV"/>
              </w:rPr>
            </w:pPr>
            <w:r>
              <w:rPr>
                <w:rFonts w:eastAsia="Times New Roman" w:cstheme="minorHAnsi"/>
                <w:color w:val="000000"/>
                <w:lang w:eastAsia="lv-LV"/>
              </w:rPr>
              <w:t>17</w:t>
            </w:r>
          </w:p>
        </w:tc>
        <w:tc>
          <w:tcPr>
            <w:tcW w:w="1158" w:type="dxa"/>
            <w:vAlign w:val="center"/>
          </w:tcPr>
          <w:p w14:paraId="4A8A0663" w14:textId="4CBD3B0E"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5E2D36">
              <w:rPr>
                <w:rFonts w:eastAsia="Times New Roman" w:cstheme="minorHAnsi"/>
                <w:color w:val="000000"/>
                <w:lang w:eastAsia="lv-LV"/>
              </w:rPr>
              <w:t>5</w:t>
            </w:r>
          </w:p>
        </w:tc>
      </w:tr>
      <w:tr w:rsidR="00CB29F7" w:rsidRPr="003D07A2" w14:paraId="05E38A06" w14:textId="77777777" w:rsidTr="0046609C">
        <w:trPr>
          <w:trHeight w:val="495"/>
        </w:trPr>
        <w:tc>
          <w:tcPr>
            <w:tcW w:w="3150" w:type="dxa"/>
            <w:vAlign w:val="center"/>
            <w:hideMark/>
          </w:tcPr>
          <w:p w14:paraId="78C44533" w14:textId="39B857AA"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Narkomānu rehabilitācija stacionārā bērniem</w:t>
            </w:r>
          </w:p>
        </w:tc>
        <w:tc>
          <w:tcPr>
            <w:tcW w:w="1381" w:type="dxa"/>
            <w:vAlign w:val="center"/>
          </w:tcPr>
          <w:p w14:paraId="1C9FBA74" w14:textId="20EB60D3"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22</w:t>
            </w:r>
          </w:p>
        </w:tc>
        <w:tc>
          <w:tcPr>
            <w:tcW w:w="1418" w:type="dxa"/>
            <w:vAlign w:val="center"/>
          </w:tcPr>
          <w:p w14:paraId="36C0B09C" w14:textId="404B30EA" w:rsidR="00CB29F7" w:rsidRPr="003D07A2" w:rsidRDefault="003902AE" w:rsidP="00CB29F7">
            <w:pPr>
              <w:spacing w:line="276" w:lineRule="auto"/>
              <w:jc w:val="center"/>
              <w:rPr>
                <w:rFonts w:eastAsia="Times New Roman" w:cstheme="minorHAnsi"/>
                <w:lang w:eastAsia="lv-LV"/>
              </w:rPr>
            </w:pPr>
            <w:r>
              <w:rPr>
                <w:rFonts w:eastAsia="Times New Roman" w:cstheme="minorHAnsi"/>
                <w:lang w:eastAsia="lv-LV"/>
              </w:rPr>
              <w:t>21</w:t>
            </w:r>
          </w:p>
        </w:tc>
        <w:tc>
          <w:tcPr>
            <w:tcW w:w="1482" w:type="dxa"/>
            <w:vAlign w:val="center"/>
          </w:tcPr>
          <w:p w14:paraId="19441A8E" w14:textId="6179238F" w:rsidR="00CB29F7" w:rsidRPr="003D07A2" w:rsidRDefault="009343F1" w:rsidP="00CB29F7">
            <w:pPr>
              <w:spacing w:line="276" w:lineRule="auto"/>
              <w:jc w:val="center"/>
              <w:rPr>
                <w:rFonts w:eastAsia="Times New Roman" w:cstheme="minorHAnsi"/>
                <w:color w:val="000000"/>
                <w:lang w:eastAsia="lv-LV"/>
              </w:rPr>
            </w:pPr>
            <w:r>
              <w:rPr>
                <w:rFonts w:eastAsia="Times New Roman" w:cstheme="minorHAnsi"/>
                <w:color w:val="000000"/>
                <w:lang w:eastAsia="lv-LV"/>
              </w:rPr>
              <w:t>17</w:t>
            </w:r>
          </w:p>
        </w:tc>
        <w:tc>
          <w:tcPr>
            <w:tcW w:w="1158" w:type="dxa"/>
            <w:vAlign w:val="center"/>
          </w:tcPr>
          <w:p w14:paraId="64BB70CE" w14:textId="69B696F7"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7D55F8">
              <w:rPr>
                <w:rFonts w:eastAsia="Times New Roman" w:cstheme="minorHAnsi"/>
                <w:color w:val="000000"/>
                <w:lang w:eastAsia="lv-LV"/>
              </w:rPr>
              <w:t>5</w:t>
            </w:r>
          </w:p>
        </w:tc>
      </w:tr>
      <w:tr w:rsidR="00CB29F7" w:rsidRPr="003D07A2" w14:paraId="3507D5E0" w14:textId="77777777" w:rsidTr="0046609C">
        <w:trPr>
          <w:trHeight w:val="517"/>
        </w:trPr>
        <w:tc>
          <w:tcPr>
            <w:tcW w:w="3150" w:type="dxa"/>
            <w:vAlign w:val="center"/>
            <w:hideMark/>
          </w:tcPr>
          <w:p w14:paraId="0532ACF9"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Obligātā narkoloģiskā palīdzība bērniem pēc bāriņtiesas lēmuma</w:t>
            </w:r>
          </w:p>
        </w:tc>
        <w:tc>
          <w:tcPr>
            <w:tcW w:w="1381" w:type="dxa"/>
            <w:vAlign w:val="center"/>
          </w:tcPr>
          <w:p w14:paraId="0422870E" w14:textId="501F49F7"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6</w:t>
            </w:r>
          </w:p>
        </w:tc>
        <w:tc>
          <w:tcPr>
            <w:tcW w:w="1418" w:type="dxa"/>
            <w:vAlign w:val="center"/>
          </w:tcPr>
          <w:p w14:paraId="3BA3D936" w14:textId="65A7C9A9" w:rsidR="00CB29F7" w:rsidRPr="003D07A2" w:rsidRDefault="003902AE" w:rsidP="00CB29F7">
            <w:pPr>
              <w:spacing w:line="276" w:lineRule="auto"/>
              <w:jc w:val="center"/>
              <w:rPr>
                <w:rFonts w:eastAsia="Times New Roman" w:cstheme="minorHAnsi"/>
                <w:lang w:eastAsia="lv-LV"/>
              </w:rPr>
            </w:pPr>
            <w:r>
              <w:rPr>
                <w:rFonts w:eastAsia="Times New Roman" w:cstheme="minorHAnsi"/>
                <w:lang w:eastAsia="lv-LV"/>
              </w:rPr>
              <w:t>4</w:t>
            </w:r>
          </w:p>
        </w:tc>
        <w:tc>
          <w:tcPr>
            <w:tcW w:w="1482" w:type="dxa"/>
            <w:vAlign w:val="center"/>
          </w:tcPr>
          <w:p w14:paraId="17D0BE24" w14:textId="0D82CAEF" w:rsidR="00CB29F7" w:rsidRPr="003D07A2" w:rsidRDefault="00422E36" w:rsidP="00CB29F7">
            <w:pPr>
              <w:spacing w:line="276" w:lineRule="auto"/>
              <w:jc w:val="center"/>
              <w:rPr>
                <w:rFonts w:eastAsia="Times New Roman" w:cstheme="minorHAnsi"/>
                <w:color w:val="000000"/>
                <w:lang w:eastAsia="lv-LV"/>
              </w:rPr>
            </w:pPr>
            <w:r>
              <w:rPr>
                <w:rFonts w:eastAsia="Times New Roman" w:cstheme="minorHAnsi"/>
                <w:color w:val="000000"/>
                <w:lang w:eastAsia="lv-LV"/>
              </w:rPr>
              <w:t>1</w:t>
            </w:r>
          </w:p>
        </w:tc>
        <w:tc>
          <w:tcPr>
            <w:tcW w:w="1158" w:type="dxa"/>
            <w:vAlign w:val="center"/>
          </w:tcPr>
          <w:p w14:paraId="3E1B3688" w14:textId="1C8EE60A"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7D55F8">
              <w:rPr>
                <w:rFonts w:eastAsia="Times New Roman" w:cstheme="minorHAnsi"/>
                <w:color w:val="000000"/>
                <w:lang w:eastAsia="lv-LV"/>
              </w:rPr>
              <w:t>5</w:t>
            </w:r>
          </w:p>
        </w:tc>
      </w:tr>
      <w:tr w:rsidR="00CB29F7" w:rsidRPr="003D07A2" w14:paraId="29356831" w14:textId="77777777" w:rsidTr="0046609C">
        <w:trPr>
          <w:trHeight w:val="483"/>
        </w:trPr>
        <w:tc>
          <w:tcPr>
            <w:tcW w:w="3150" w:type="dxa"/>
            <w:vAlign w:val="center"/>
            <w:hideMark/>
          </w:tcPr>
          <w:p w14:paraId="08A4BD62" w14:textId="77777777"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Minesotas programma stacionārā</w:t>
            </w:r>
          </w:p>
        </w:tc>
        <w:tc>
          <w:tcPr>
            <w:tcW w:w="1381" w:type="dxa"/>
            <w:vAlign w:val="center"/>
          </w:tcPr>
          <w:p w14:paraId="33020543" w14:textId="5D7781AC"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66</w:t>
            </w:r>
          </w:p>
        </w:tc>
        <w:tc>
          <w:tcPr>
            <w:tcW w:w="1418" w:type="dxa"/>
            <w:vAlign w:val="center"/>
          </w:tcPr>
          <w:p w14:paraId="6F9098B4" w14:textId="30B1D07F" w:rsidR="00CB29F7" w:rsidRPr="003D07A2" w:rsidRDefault="003902AE" w:rsidP="00CB29F7">
            <w:pPr>
              <w:spacing w:line="276" w:lineRule="auto"/>
              <w:jc w:val="center"/>
              <w:rPr>
                <w:rFonts w:eastAsia="Times New Roman" w:cstheme="minorHAnsi"/>
                <w:lang w:eastAsia="lv-LV"/>
              </w:rPr>
            </w:pPr>
            <w:r>
              <w:rPr>
                <w:rFonts w:eastAsia="Times New Roman" w:cstheme="minorHAnsi"/>
                <w:lang w:eastAsia="lv-LV"/>
              </w:rPr>
              <w:t>65</w:t>
            </w:r>
          </w:p>
        </w:tc>
        <w:tc>
          <w:tcPr>
            <w:tcW w:w="1482" w:type="dxa"/>
            <w:vAlign w:val="center"/>
          </w:tcPr>
          <w:p w14:paraId="193F2888" w14:textId="20B9BDC4" w:rsidR="00CB29F7" w:rsidRPr="003D07A2" w:rsidRDefault="009343F1" w:rsidP="00CB29F7">
            <w:pPr>
              <w:spacing w:line="276" w:lineRule="auto"/>
              <w:jc w:val="center"/>
              <w:rPr>
                <w:rFonts w:eastAsia="Times New Roman" w:cstheme="minorHAnsi"/>
                <w:color w:val="000000"/>
                <w:lang w:eastAsia="lv-LV"/>
              </w:rPr>
            </w:pPr>
            <w:r>
              <w:rPr>
                <w:rFonts w:eastAsia="Times New Roman" w:cstheme="minorHAnsi"/>
                <w:color w:val="000000"/>
                <w:lang w:eastAsia="lv-LV"/>
              </w:rPr>
              <w:t>70</w:t>
            </w:r>
          </w:p>
        </w:tc>
        <w:tc>
          <w:tcPr>
            <w:tcW w:w="1158" w:type="dxa"/>
            <w:vAlign w:val="center"/>
          </w:tcPr>
          <w:p w14:paraId="270295B1" w14:textId="74A9E125" w:rsidR="00CB29F7" w:rsidRPr="003D07A2" w:rsidRDefault="007D55F8" w:rsidP="00CB29F7">
            <w:pPr>
              <w:spacing w:line="276" w:lineRule="auto"/>
              <w:jc w:val="center"/>
              <w:rPr>
                <w:rFonts w:eastAsia="Times New Roman" w:cstheme="minorHAnsi"/>
                <w:color w:val="000000"/>
                <w:lang w:eastAsia="lv-LV"/>
              </w:rPr>
            </w:pPr>
            <w:r>
              <w:rPr>
                <w:rFonts w:eastAsia="Times New Roman" w:cstheme="minorHAnsi"/>
                <w:color w:val="000000"/>
                <w:lang w:eastAsia="lv-LV"/>
              </w:rPr>
              <w:t>+4</w:t>
            </w:r>
          </w:p>
        </w:tc>
      </w:tr>
      <w:tr w:rsidR="00CB29F7" w:rsidRPr="003D07A2" w14:paraId="40C53A99" w14:textId="77777777" w:rsidTr="0046609C">
        <w:trPr>
          <w:trHeight w:val="185"/>
        </w:trPr>
        <w:tc>
          <w:tcPr>
            <w:tcW w:w="3150" w:type="dxa"/>
            <w:noWrap/>
            <w:vAlign w:val="center"/>
            <w:hideMark/>
          </w:tcPr>
          <w:p w14:paraId="00EADED2" w14:textId="17540D35" w:rsidR="00CB29F7" w:rsidRPr="003D07A2" w:rsidRDefault="00CB29F7" w:rsidP="00CB29F7">
            <w:pPr>
              <w:spacing w:line="276" w:lineRule="auto"/>
              <w:rPr>
                <w:rFonts w:eastAsia="Times New Roman" w:cstheme="minorHAnsi"/>
                <w:color w:val="000000"/>
                <w:lang w:eastAsia="lv-LV"/>
              </w:rPr>
            </w:pPr>
            <w:r w:rsidRPr="003D07A2">
              <w:rPr>
                <w:rFonts w:eastAsia="Times New Roman" w:cstheme="minorHAnsi"/>
                <w:color w:val="000000"/>
                <w:lang w:eastAsia="lv-LV"/>
              </w:rPr>
              <w:t>Kopā</w:t>
            </w:r>
          </w:p>
        </w:tc>
        <w:tc>
          <w:tcPr>
            <w:tcW w:w="1381" w:type="dxa"/>
            <w:vAlign w:val="center"/>
          </w:tcPr>
          <w:p w14:paraId="4D72C88C" w14:textId="10740502"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1310</w:t>
            </w:r>
          </w:p>
        </w:tc>
        <w:tc>
          <w:tcPr>
            <w:tcW w:w="1418" w:type="dxa"/>
            <w:noWrap/>
            <w:vAlign w:val="center"/>
          </w:tcPr>
          <w:p w14:paraId="47848DC8" w14:textId="1D6DDDBC" w:rsidR="00CB29F7" w:rsidRPr="003D07A2" w:rsidRDefault="007F2376" w:rsidP="00CB29F7">
            <w:pPr>
              <w:spacing w:line="276" w:lineRule="auto"/>
              <w:jc w:val="center"/>
              <w:rPr>
                <w:rFonts w:eastAsia="Times New Roman" w:cstheme="minorHAnsi"/>
                <w:lang w:eastAsia="lv-LV"/>
              </w:rPr>
            </w:pPr>
            <w:r>
              <w:rPr>
                <w:rFonts w:eastAsia="Times New Roman" w:cstheme="minorHAnsi"/>
                <w:lang w:eastAsia="lv-LV"/>
              </w:rPr>
              <w:t>157</w:t>
            </w:r>
            <w:r w:rsidR="009155AE">
              <w:rPr>
                <w:rFonts w:eastAsia="Times New Roman" w:cstheme="minorHAnsi"/>
                <w:lang w:eastAsia="lv-LV"/>
              </w:rPr>
              <w:t>4</w:t>
            </w:r>
          </w:p>
        </w:tc>
        <w:tc>
          <w:tcPr>
            <w:tcW w:w="1482" w:type="dxa"/>
            <w:vAlign w:val="center"/>
          </w:tcPr>
          <w:p w14:paraId="43401EAD" w14:textId="66518AB1" w:rsidR="00CB29F7" w:rsidRPr="003D07A2" w:rsidRDefault="0028660C" w:rsidP="00CB29F7">
            <w:pPr>
              <w:spacing w:line="276" w:lineRule="auto"/>
              <w:jc w:val="center"/>
              <w:rPr>
                <w:rFonts w:eastAsia="Times New Roman" w:cstheme="minorHAnsi"/>
                <w:color w:val="000000"/>
                <w:lang w:eastAsia="lv-LV"/>
              </w:rPr>
            </w:pPr>
            <w:r>
              <w:rPr>
                <w:rFonts w:eastAsia="Times New Roman" w:cstheme="minorHAnsi"/>
                <w:color w:val="000000"/>
                <w:lang w:eastAsia="lv-LV"/>
              </w:rPr>
              <w:t>1621</w:t>
            </w:r>
          </w:p>
        </w:tc>
        <w:tc>
          <w:tcPr>
            <w:tcW w:w="1158" w:type="dxa"/>
            <w:vAlign w:val="center"/>
          </w:tcPr>
          <w:p w14:paraId="0DE5B7B4" w14:textId="3A3FA523" w:rsidR="00CB29F7" w:rsidRPr="003D07A2" w:rsidRDefault="00CB29F7" w:rsidP="00CB29F7">
            <w:pPr>
              <w:spacing w:line="276" w:lineRule="auto"/>
              <w:jc w:val="center"/>
              <w:rPr>
                <w:rFonts w:eastAsia="Times New Roman" w:cstheme="minorHAnsi"/>
                <w:color w:val="000000"/>
                <w:lang w:eastAsia="lv-LV"/>
              </w:rPr>
            </w:pPr>
            <w:r>
              <w:rPr>
                <w:rFonts w:eastAsia="Times New Roman" w:cstheme="minorHAnsi"/>
                <w:color w:val="000000"/>
                <w:lang w:eastAsia="lv-LV"/>
              </w:rPr>
              <w:t>+</w:t>
            </w:r>
            <w:r w:rsidR="007D55F8">
              <w:rPr>
                <w:rFonts w:eastAsia="Times New Roman" w:cstheme="minorHAnsi"/>
                <w:color w:val="000000"/>
                <w:lang w:eastAsia="lv-LV"/>
              </w:rPr>
              <w:t>311</w:t>
            </w:r>
          </w:p>
        </w:tc>
      </w:tr>
      <w:tr w:rsidR="008A6332" w:rsidRPr="003D07A2" w14:paraId="0011F38B" w14:textId="77777777" w:rsidTr="0046609C">
        <w:trPr>
          <w:trHeight w:val="185"/>
        </w:trPr>
        <w:tc>
          <w:tcPr>
            <w:tcW w:w="3150" w:type="dxa"/>
            <w:noWrap/>
            <w:vAlign w:val="center"/>
          </w:tcPr>
          <w:p w14:paraId="6965E0FD" w14:textId="77777777" w:rsidR="008A6332" w:rsidRPr="003D07A2" w:rsidRDefault="008A6332" w:rsidP="008A6332">
            <w:pPr>
              <w:spacing w:line="276" w:lineRule="auto"/>
              <w:rPr>
                <w:rFonts w:eastAsia="Times New Roman" w:cstheme="minorHAnsi"/>
                <w:color w:val="000000"/>
                <w:lang w:eastAsia="lv-LV"/>
              </w:rPr>
            </w:pPr>
            <w:r w:rsidRPr="003D07A2">
              <w:rPr>
                <w:rFonts w:eastAsia="Times New Roman" w:cstheme="minorHAnsi"/>
                <w:color w:val="000000"/>
                <w:lang w:eastAsia="lv-LV"/>
              </w:rPr>
              <w:t>COVID-19 pacientu ārstēšana</w:t>
            </w:r>
          </w:p>
        </w:tc>
        <w:tc>
          <w:tcPr>
            <w:tcW w:w="1381" w:type="dxa"/>
            <w:vAlign w:val="center"/>
          </w:tcPr>
          <w:p w14:paraId="047528D9" w14:textId="64123C28" w:rsidR="008A6332" w:rsidRPr="003D07A2" w:rsidRDefault="00417F90" w:rsidP="008A6332">
            <w:pPr>
              <w:spacing w:line="276" w:lineRule="auto"/>
              <w:jc w:val="center"/>
              <w:rPr>
                <w:rFonts w:eastAsia="Times New Roman" w:cstheme="minorHAnsi"/>
                <w:color w:val="000000"/>
                <w:lang w:eastAsia="lv-LV"/>
              </w:rPr>
            </w:pPr>
            <w:r>
              <w:rPr>
                <w:rFonts w:eastAsia="Times New Roman" w:cstheme="minorHAnsi"/>
                <w:color w:val="000000"/>
                <w:lang w:eastAsia="lv-LV"/>
              </w:rPr>
              <w:t>209</w:t>
            </w:r>
          </w:p>
        </w:tc>
        <w:tc>
          <w:tcPr>
            <w:tcW w:w="1418" w:type="dxa"/>
            <w:noWrap/>
            <w:vAlign w:val="center"/>
          </w:tcPr>
          <w:p w14:paraId="1DACC5A1" w14:textId="6026B25A" w:rsidR="008A6332" w:rsidRPr="003D07A2" w:rsidRDefault="003902AE" w:rsidP="008A6332">
            <w:pPr>
              <w:spacing w:line="276" w:lineRule="auto"/>
              <w:jc w:val="center"/>
              <w:rPr>
                <w:rFonts w:eastAsia="Times New Roman" w:cstheme="minorHAnsi"/>
                <w:lang w:eastAsia="lv-LV"/>
              </w:rPr>
            </w:pPr>
            <w:r>
              <w:rPr>
                <w:rFonts w:eastAsia="Times New Roman" w:cstheme="minorHAnsi"/>
                <w:lang w:eastAsia="lv-LV"/>
              </w:rPr>
              <w:t>46</w:t>
            </w:r>
          </w:p>
        </w:tc>
        <w:tc>
          <w:tcPr>
            <w:tcW w:w="1482" w:type="dxa"/>
            <w:vAlign w:val="center"/>
          </w:tcPr>
          <w:p w14:paraId="08267F31" w14:textId="26788B5C" w:rsidR="008A6332" w:rsidRPr="003D07A2" w:rsidRDefault="008709B5" w:rsidP="008A6332">
            <w:pPr>
              <w:spacing w:line="276" w:lineRule="auto"/>
              <w:jc w:val="center"/>
              <w:rPr>
                <w:rFonts w:eastAsia="Times New Roman" w:cstheme="minorHAnsi"/>
                <w:color w:val="000000"/>
                <w:lang w:eastAsia="lv-LV"/>
              </w:rPr>
            </w:pPr>
            <w:r>
              <w:rPr>
                <w:rFonts w:eastAsia="Times New Roman" w:cstheme="minorHAnsi"/>
                <w:color w:val="000000"/>
                <w:lang w:eastAsia="lv-LV"/>
              </w:rPr>
              <w:t>46</w:t>
            </w:r>
          </w:p>
        </w:tc>
        <w:tc>
          <w:tcPr>
            <w:tcW w:w="1158" w:type="dxa"/>
            <w:vAlign w:val="center"/>
          </w:tcPr>
          <w:p w14:paraId="47EA3C23" w14:textId="626FF9C4" w:rsidR="008A6332" w:rsidRPr="003D07A2" w:rsidRDefault="00D951B4" w:rsidP="008A6332">
            <w:pPr>
              <w:spacing w:line="276" w:lineRule="auto"/>
              <w:jc w:val="center"/>
              <w:rPr>
                <w:rFonts w:eastAsia="Times New Roman" w:cstheme="minorHAnsi"/>
                <w:color w:val="000000"/>
                <w:lang w:eastAsia="lv-LV"/>
              </w:rPr>
            </w:pPr>
            <w:r>
              <w:rPr>
                <w:rFonts w:eastAsia="Times New Roman" w:cstheme="minorHAnsi"/>
                <w:color w:val="000000"/>
                <w:lang w:eastAsia="lv-LV"/>
              </w:rPr>
              <w:t>-1</w:t>
            </w:r>
            <w:r w:rsidR="0028660C">
              <w:rPr>
                <w:rFonts w:eastAsia="Times New Roman" w:cstheme="minorHAnsi"/>
                <w:color w:val="000000"/>
                <w:lang w:eastAsia="lv-LV"/>
              </w:rPr>
              <w:t>63</w:t>
            </w:r>
          </w:p>
        </w:tc>
      </w:tr>
    </w:tbl>
    <w:p w14:paraId="4B4439CA" w14:textId="77777777" w:rsidR="0024783B" w:rsidRDefault="0024783B" w:rsidP="00712DD6">
      <w:pPr>
        <w:spacing w:before="100" w:beforeAutospacing="1" w:after="100" w:afterAutospacing="1"/>
        <w:jc w:val="both"/>
        <w:rPr>
          <w:rFonts w:cstheme="minorHAnsi"/>
        </w:rPr>
      </w:pPr>
    </w:p>
    <w:p w14:paraId="0C929081" w14:textId="24146739" w:rsidR="001739AA" w:rsidRPr="003D07A2" w:rsidRDefault="001739AA" w:rsidP="00712DD6">
      <w:pPr>
        <w:spacing w:before="100" w:beforeAutospacing="1" w:after="100" w:afterAutospacing="1"/>
        <w:jc w:val="both"/>
        <w:rPr>
          <w:rFonts w:cstheme="minorHAnsi"/>
        </w:rPr>
      </w:pPr>
      <w:r w:rsidRPr="003D07A2">
        <w:rPr>
          <w:rFonts w:cstheme="minorHAnsi"/>
        </w:rPr>
        <w:t xml:space="preserve">Pārskata </w:t>
      </w:r>
      <w:r w:rsidR="009B4ECD">
        <w:rPr>
          <w:rFonts w:cstheme="minorHAnsi"/>
        </w:rPr>
        <w:t>periodā</w:t>
      </w:r>
      <w:r w:rsidRPr="003D07A2">
        <w:rPr>
          <w:rFonts w:cstheme="minorHAnsi"/>
        </w:rPr>
        <w:t xml:space="preserve"> slimnīcā, salīdzinot ar 20</w:t>
      </w:r>
      <w:r w:rsidR="009B4ECD">
        <w:rPr>
          <w:rFonts w:cstheme="minorHAnsi"/>
        </w:rPr>
        <w:t>2</w:t>
      </w:r>
      <w:r w:rsidR="00D951B4">
        <w:rPr>
          <w:rFonts w:cstheme="minorHAnsi"/>
        </w:rPr>
        <w:t>1</w:t>
      </w:r>
      <w:r w:rsidRPr="003D07A2">
        <w:rPr>
          <w:rFonts w:cstheme="minorHAnsi"/>
        </w:rPr>
        <w:t xml:space="preserve">.gadu, ārstēto pacientu skaits </w:t>
      </w:r>
      <w:r w:rsidR="009B4ECD">
        <w:rPr>
          <w:rFonts w:cstheme="minorHAnsi"/>
        </w:rPr>
        <w:t>psihiatrijā un narkoloģijā kopā</w:t>
      </w:r>
      <w:r w:rsidRPr="003D07A2">
        <w:rPr>
          <w:rFonts w:cstheme="minorHAnsi"/>
        </w:rPr>
        <w:t xml:space="preserve"> </w:t>
      </w:r>
      <w:r w:rsidR="00D951B4">
        <w:rPr>
          <w:rFonts w:cstheme="minorHAnsi"/>
        </w:rPr>
        <w:t xml:space="preserve">palielinājies par </w:t>
      </w:r>
      <w:r w:rsidR="00F852EB">
        <w:rPr>
          <w:rFonts w:cstheme="minorHAnsi"/>
        </w:rPr>
        <w:t>311</w:t>
      </w:r>
      <w:r w:rsidR="00D951B4">
        <w:rPr>
          <w:rFonts w:cstheme="minorHAnsi"/>
        </w:rPr>
        <w:t xml:space="preserve"> pacientiem</w:t>
      </w:r>
      <w:r w:rsidR="00933B50">
        <w:rPr>
          <w:rFonts w:cstheme="minorHAnsi"/>
        </w:rPr>
        <w:t>,</w:t>
      </w:r>
      <w:r w:rsidR="00FC0E69">
        <w:rPr>
          <w:rFonts w:cstheme="minorHAnsi"/>
        </w:rPr>
        <w:t xml:space="preserve"> savukārt</w:t>
      </w:r>
      <w:r w:rsidR="00912832">
        <w:rPr>
          <w:rFonts w:cstheme="minorHAnsi"/>
        </w:rPr>
        <w:t xml:space="preserve"> ārstēto </w:t>
      </w:r>
      <w:r w:rsidR="009B4ECD">
        <w:rPr>
          <w:rFonts w:cstheme="minorHAnsi"/>
        </w:rPr>
        <w:t>COVID-19 pozitīv</w:t>
      </w:r>
      <w:r w:rsidR="00FC0E69">
        <w:rPr>
          <w:rFonts w:cstheme="minorHAnsi"/>
        </w:rPr>
        <w:t>u</w:t>
      </w:r>
      <w:r w:rsidR="009B4ECD">
        <w:rPr>
          <w:rFonts w:cstheme="minorHAnsi"/>
        </w:rPr>
        <w:t xml:space="preserve"> pacientu</w:t>
      </w:r>
      <w:r w:rsidR="00FC0E69">
        <w:rPr>
          <w:rFonts w:cstheme="minorHAnsi"/>
        </w:rPr>
        <w:t xml:space="preserve"> skaits </w:t>
      </w:r>
      <w:r w:rsidR="00C64841">
        <w:rPr>
          <w:rFonts w:cstheme="minorHAnsi"/>
        </w:rPr>
        <w:t>ir par 163 pacientiem mazāk</w:t>
      </w:r>
      <w:r w:rsidR="009B4ECD">
        <w:rPr>
          <w:rFonts w:cstheme="minorHAnsi"/>
        </w:rPr>
        <w:t>.</w:t>
      </w:r>
      <w:r w:rsidRPr="003D07A2">
        <w:rPr>
          <w:rFonts w:cstheme="minorHAnsi"/>
        </w:rPr>
        <w:t xml:space="preserve"> </w:t>
      </w:r>
      <w:r w:rsidR="009B4ECD">
        <w:rPr>
          <w:rFonts w:cstheme="minorHAnsi"/>
        </w:rPr>
        <w:t xml:space="preserve">Pārskata periodā beigās </w:t>
      </w:r>
      <w:r w:rsidR="008F6590">
        <w:rPr>
          <w:rFonts w:cstheme="minorHAnsi"/>
        </w:rPr>
        <w:t>, saskaņā ar NVD līgum</w:t>
      </w:r>
      <w:r w:rsidR="004D2C12">
        <w:rPr>
          <w:rFonts w:cstheme="minorHAnsi"/>
        </w:rPr>
        <w:t xml:space="preserve">ā noteikto prognozēto pacientu skaitu, </w:t>
      </w:r>
      <w:r w:rsidR="00BF6DB0">
        <w:rPr>
          <w:rFonts w:cstheme="minorHAnsi"/>
        </w:rPr>
        <w:t xml:space="preserve">slimnīcai </w:t>
      </w:r>
      <w:r w:rsidR="009B4ECD">
        <w:rPr>
          <w:rFonts w:cstheme="minorHAnsi"/>
        </w:rPr>
        <w:t xml:space="preserve">nav apmaksāti </w:t>
      </w:r>
      <w:r w:rsidR="001361A6">
        <w:rPr>
          <w:rFonts w:cstheme="minorHAnsi"/>
        </w:rPr>
        <w:t>4</w:t>
      </w:r>
      <w:r w:rsidR="009B4ECD">
        <w:rPr>
          <w:rFonts w:cstheme="minorHAnsi"/>
        </w:rPr>
        <w:t xml:space="preserve"> ārstētie narkoloģiskās rehabilitācijas pieaugušie pacienti (</w:t>
      </w:r>
      <w:r w:rsidR="00A5539A">
        <w:rPr>
          <w:rFonts w:cstheme="minorHAnsi"/>
        </w:rPr>
        <w:t>33 321.04</w:t>
      </w:r>
      <w:r w:rsidR="009B4ECD">
        <w:rPr>
          <w:rFonts w:cstheme="minorHAnsi"/>
        </w:rPr>
        <w:t xml:space="preserve"> </w:t>
      </w:r>
      <w:proofErr w:type="spellStart"/>
      <w:r w:rsidR="009B4ECD">
        <w:rPr>
          <w:rFonts w:cstheme="minorHAnsi"/>
        </w:rPr>
        <w:t>euro</w:t>
      </w:r>
      <w:proofErr w:type="spellEnd"/>
      <w:r w:rsidR="009B4ECD">
        <w:rPr>
          <w:rFonts w:cstheme="minorHAnsi"/>
        </w:rPr>
        <w:t>)</w:t>
      </w:r>
      <w:r w:rsidR="0058186F">
        <w:rPr>
          <w:rFonts w:cstheme="minorHAnsi"/>
        </w:rPr>
        <w:t>;</w:t>
      </w:r>
      <w:r w:rsidR="009B4ECD">
        <w:rPr>
          <w:rFonts w:cstheme="minorHAnsi"/>
        </w:rPr>
        <w:t xml:space="preserve"> </w:t>
      </w:r>
      <w:r w:rsidR="00970816">
        <w:rPr>
          <w:rFonts w:cstheme="minorHAnsi"/>
        </w:rPr>
        <w:t xml:space="preserve">psihiatriskā palīdzība, tai skaitā pēc tiesas lēmuma </w:t>
      </w:r>
      <w:r w:rsidR="000D63B5">
        <w:rPr>
          <w:rFonts w:cstheme="minorHAnsi"/>
        </w:rPr>
        <w:t>33</w:t>
      </w:r>
      <w:r w:rsidR="00970816">
        <w:rPr>
          <w:rFonts w:cstheme="minorHAnsi"/>
        </w:rPr>
        <w:t xml:space="preserve"> </w:t>
      </w:r>
      <w:r w:rsidR="0058186F">
        <w:rPr>
          <w:rFonts w:cstheme="minorHAnsi"/>
        </w:rPr>
        <w:t>pieauguši</w:t>
      </w:r>
      <w:r w:rsidR="00CB2BEE">
        <w:rPr>
          <w:rFonts w:cstheme="minorHAnsi"/>
        </w:rPr>
        <w:t xml:space="preserve">e </w:t>
      </w:r>
      <w:r w:rsidR="0058186F">
        <w:rPr>
          <w:rFonts w:cstheme="minorHAnsi"/>
        </w:rPr>
        <w:t>pacient</w:t>
      </w:r>
      <w:r w:rsidR="00970816">
        <w:rPr>
          <w:rFonts w:cstheme="minorHAnsi"/>
        </w:rPr>
        <w:t>i (</w:t>
      </w:r>
      <w:r w:rsidR="0058186F">
        <w:rPr>
          <w:rFonts w:cstheme="minorHAnsi"/>
        </w:rPr>
        <w:t>83 532.24</w:t>
      </w:r>
      <w:r w:rsidR="00B0002E">
        <w:rPr>
          <w:rFonts w:cstheme="minorHAnsi"/>
        </w:rPr>
        <w:t xml:space="preserve"> </w:t>
      </w:r>
      <w:proofErr w:type="spellStart"/>
      <w:r w:rsidR="00B0002E">
        <w:rPr>
          <w:rFonts w:cstheme="minorHAnsi"/>
        </w:rPr>
        <w:t>euro</w:t>
      </w:r>
      <w:proofErr w:type="spellEnd"/>
      <w:r w:rsidR="00B0002E">
        <w:rPr>
          <w:rFonts w:cstheme="minorHAnsi"/>
        </w:rPr>
        <w:t>)</w:t>
      </w:r>
      <w:r w:rsidR="0058186F">
        <w:rPr>
          <w:rFonts w:cstheme="minorHAnsi"/>
        </w:rPr>
        <w:t>; narkoloģija – 16 pacienti</w:t>
      </w:r>
      <w:r w:rsidR="00CB2BEE">
        <w:rPr>
          <w:rFonts w:cstheme="minorHAnsi"/>
        </w:rPr>
        <w:t xml:space="preserve"> (8491.36 </w:t>
      </w:r>
      <w:proofErr w:type="spellStart"/>
      <w:r w:rsidR="00CB2BEE">
        <w:rPr>
          <w:rFonts w:cstheme="minorHAnsi"/>
        </w:rPr>
        <w:t>euro</w:t>
      </w:r>
      <w:proofErr w:type="spellEnd"/>
      <w:r w:rsidR="00CB2BEE">
        <w:rPr>
          <w:rFonts w:cstheme="minorHAnsi"/>
        </w:rPr>
        <w:t>); Minesotas programma – 6 pacienti (</w:t>
      </w:r>
      <w:r w:rsidR="00E965A8">
        <w:rPr>
          <w:rFonts w:cstheme="minorHAnsi"/>
        </w:rPr>
        <w:t xml:space="preserve">12 159.72 </w:t>
      </w:r>
      <w:proofErr w:type="spellStart"/>
      <w:r w:rsidR="00E965A8">
        <w:rPr>
          <w:rFonts w:cstheme="minorHAnsi"/>
        </w:rPr>
        <w:t>euro</w:t>
      </w:r>
      <w:proofErr w:type="spellEnd"/>
      <w:r w:rsidR="00E965A8">
        <w:rPr>
          <w:rFonts w:cstheme="minorHAnsi"/>
        </w:rPr>
        <w:t xml:space="preserve">). Kopā </w:t>
      </w:r>
      <w:r w:rsidR="00B039BD">
        <w:rPr>
          <w:rFonts w:cstheme="minorHAnsi"/>
        </w:rPr>
        <w:t xml:space="preserve">137 504.36 </w:t>
      </w:r>
      <w:proofErr w:type="spellStart"/>
      <w:r w:rsidR="00B039BD">
        <w:rPr>
          <w:rFonts w:cstheme="minorHAnsi"/>
        </w:rPr>
        <w:t>euro</w:t>
      </w:r>
      <w:proofErr w:type="spellEnd"/>
    </w:p>
    <w:p w14:paraId="5BCED999" w14:textId="77777777" w:rsidR="0024783B" w:rsidRDefault="0024783B" w:rsidP="00712DD6">
      <w:pPr>
        <w:spacing w:before="100" w:beforeAutospacing="1" w:after="100" w:afterAutospacing="1"/>
        <w:jc w:val="both"/>
        <w:rPr>
          <w:rFonts w:cstheme="minorHAnsi"/>
        </w:rPr>
      </w:pPr>
    </w:p>
    <w:p w14:paraId="3A5872E4" w14:textId="1369C59D" w:rsidR="0010757F" w:rsidRPr="003D07A2" w:rsidRDefault="009430DE" w:rsidP="00712DD6">
      <w:pPr>
        <w:spacing w:before="100" w:beforeAutospacing="1" w:after="100" w:afterAutospacing="1"/>
        <w:jc w:val="both"/>
        <w:rPr>
          <w:rFonts w:cstheme="minorHAnsi"/>
        </w:rPr>
      </w:pPr>
      <w:r w:rsidRPr="003D07A2">
        <w:rPr>
          <w:rFonts w:cstheme="minorHAnsi"/>
        </w:rPr>
        <w:t>Pārskata periodā Slimnīcai par sekundāro ambulatoro veselības aprūpes pakalpojumu sniegšanu līgumā ar Nacionālo veselības dienestu noteikta tāmes finansējums par psihiatrijas (3 slodzes psihiatrs, 0.5 slodzes bērnu psihiatrs), psihologa/ psihoterapeita (</w:t>
      </w:r>
      <w:r w:rsidR="003328C9" w:rsidRPr="003D07A2">
        <w:rPr>
          <w:rFonts w:cstheme="minorHAnsi"/>
        </w:rPr>
        <w:t>0.</w:t>
      </w:r>
      <w:r w:rsidR="00AE4828">
        <w:rPr>
          <w:rFonts w:cstheme="minorHAnsi"/>
        </w:rPr>
        <w:t>2</w:t>
      </w:r>
      <w:r w:rsidR="003328C9" w:rsidRPr="003D07A2">
        <w:rPr>
          <w:rFonts w:cstheme="minorHAnsi"/>
        </w:rPr>
        <w:t>5</w:t>
      </w:r>
      <w:r w:rsidRPr="003D07A2">
        <w:rPr>
          <w:rFonts w:cstheme="minorHAnsi"/>
        </w:rPr>
        <w:t xml:space="preserve"> slodze), psihiatrijas māsas(4 slodzes) un funkcionālo speciālistu</w:t>
      </w:r>
      <w:r w:rsidR="00C06C05" w:rsidRPr="003D07A2">
        <w:rPr>
          <w:rFonts w:cstheme="minorHAnsi"/>
        </w:rPr>
        <w:t xml:space="preserve"> </w:t>
      </w:r>
      <w:r w:rsidRPr="003D07A2">
        <w:rPr>
          <w:rFonts w:cstheme="minorHAnsi"/>
        </w:rPr>
        <w:t>(1</w:t>
      </w:r>
      <w:r w:rsidR="003328C9" w:rsidRPr="003D07A2">
        <w:rPr>
          <w:rFonts w:cstheme="minorHAnsi"/>
        </w:rPr>
        <w:t xml:space="preserve"> </w:t>
      </w:r>
      <w:r w:rsidRPr="003D07A2">
        <w:rPr>
          <w:rFonts w:cstheme="minorHAnsi"/>
        </w:rPr>
        <w:t xml:space="preserve">slodze) kabinetiem. </w:t>
      </w:r>
      <w:proofErr w:type="spellStart"/>
      <w:r w:rsidRPr="003D07A2">
        <w:rPr>
          <w:rFonts w:cstheme="minorHAnsi"/>
        </w:rPr>
        <w:t>Metadona</w:t>
      </w:r>
      <w:proofErr w:type="spellEnd"/>
      <w:r w:rsidRPr="003D07A2">
        <w:rPr>
          <w:rFonts w:cstheme="minorHAnsi"/>
        </w:rPr>
        <w:t xml:space="preserve"> aizvietojošās terapijas kabinetam apmaksātas 1.75 māsas</w:t>
      </w:r>
      <w:r w:rsidR="00C06C05" w:rsidRPr="003D07A2">
        <w:rPr>
          <w:rFonts w:cstheme="minorHAnsi"/>
        </w:rPr>
        <w:t xml:space="preserve"> </w:t>
      </w:r>
      <w:r w:rsidRPr="003D07A2">
        <w:rPr>
          <w:rFonts w:cstheme="minorHAnsi"/>
        </w:rPr>
        <w:t>slodzes un 1 psihologa slodze kabinetos</w:t>
      </w:r>
      <w:r w:rsidR="006326D0">
        <w:rPr>
          <w:rFonts w:cstheme="minorHAnsi"/>
        </w:rPr>
        <w:t xml:space="preserve">; 0.5 slodzes psihologs un 1 slodze koordinators </w:t>
      </w:r>
      <w:proofErr w:type="spellStart"/>
      <w:r w:rsidR="006326D0">
        <w:rPr>
          <w:rFonts w:cstheme="minorHAnsi"/>
        </w:rPr>
        <w:t>psiho</w:t>
      </w:r>
      <w:r w:rsidR="001E59ED">
        <w:rPr>
          <w:rFonts w:cstheme="minorHAnsi"/>
        </w:rPr>
        <w:t>emocionālās</w:t>
      </w:r>
      <w:proofErr w:type="spellEnd"/>
      <w:r w:rsidR="001E59ED">
        <w:rPr>
          <w:rFonts w:cstheme="minorHAnsi"/>
        </w:rPr>
        <w:t xml:space="preserve"> veselības uzraudzības un atbalsta kabinetā.</w:t>
      </w:r>
    </w:p>
    <w:p w14:paraId="3E14BA78" w14:textId="297E99F3" w:rsidR="00EB3D04" w:rsidRPr="003D07A2" w:rsidRDefault="006E705D" w:rsidP="00712DD6">
      <w:pPr>
        <w:spacing w:before="100" w:beforeAutospacing="1" w:after="100" w:afterAutospacing="1"/>
        <w:jc w:val="center"/>
        <w:rPr>
          <w:rFonts w:cstheme="minorHAnsi"/>
          <w:b/>
          <w:bCs/>
        </w:rPr>
      </w:pPr>
      <w:r>
        <w:rPr>
          <w:rFonts w:cstheme="minorHAnsi"/>
          <w:b/>
          <w:bCs/>
        </w:rPr>
        <w:t>S</w:t>
      </w:r>
      <w:r w:rsidR="009430DE" w:rsidRPr="003D07A2">
        <w:rPr>
          <w:rFonts w:cstheme="minorHAnsi"/>
          <w:b/>
          <w:bCs/>
        </w:rPr>
        <w:t xml:space="preserve">AVA </w:t>
      </w:r>
      <w:proofErr w:type="spellStart"/>
      <w:r w:rsidR="009430DE" w:rsidRPr="003D07A2">
        <w:rPr>
          <w:rFonts w:cstheme="minorHAnsi"/>
          <w:b/>
          <w:bCs/>
        </w:rPr>
        <w:t>kvotēto</w:t>
      </w:r>
      <w:proofErr w:type="spellEnd"/>
      <w:r w:rsidR="009430DE" w:rsidRPr="003D07A2">
        <w:rPr>
          <w:rFonts w:cstheme="minorHAnsi"/>
          <w:b/>
          <w:bCs/>
        </w:rPr>
        <w:t xml:space="preserve"> pakalpojumu apjoms</w:t>
      </w:r>
    </w:p>
    <w:tbl>
      <w:tblPr>
        <w:tblStyle w:val="Reatabula"/>
        <w:tblW w:w="9493" w:type="dxa"/>
        <w:jc w:val="center"/>
        <w:tblLook w:val="04A0" w:firstRow="1" w:lastRow="0" w:firstColumn="1" w:lastColumn="0" w:noHBand="0" w:noVBand="1"/>
      </w:tblPr>
      <w:tblGrid>
        <w:gridCol w:w="2197"/>
        <w:gridCol w:w="1991"/>
        <w:gridCol w:w="2116"/>
        <w:gridCol w:w="2116"/>
        <w:gridCol w:w="1073"/>
      </w:tblGrid>
      <w:tr w:rsidR="00271864" w:rsidRPr="00271864" w14:paraId="402F0C56" w14:textId="66A3EC14" w:rsidTr="00D96B3A">
        <w:trPr>
          <w:trHeight w:val="1296"/>
          <w:jc w:val="center"/>
        </w:trPr>
        <w:tc>
          <w:tcPr>
            <w:tcW w:w="2197" w:type="dxa"/>
            <w:vAlign w:val="center"/>
          </w:tcPr>
          <w:p w14:paraId="3C427093" w14:textId="77777777" w:rsidR="00271864" w:rsidRPr="00271864" w:rsidRDefault="00271864" w:rsidP="00271864">
            <w:pPr>
              <w:jc w:val="center"/>
              <w:rPr>
                <w:rFonts w:cstheme="minorHAnsi"/>
                <w:sz w:val="20"/>
                <w:szCs w:val="20"/>
              </w:rPr>
            </w:pPr>
            <w:r w:rsidRPr="00271864">
              <w:rPr>
                <w:rFonts w:cstheme="minorHAnsi"/>
                <w:sz w:val="20"/>
                <w:szCs w:val="20"/>
              </w:rPr>
              <w:t>Pakalpojuma veids</w:t>
            </w:r>
          </w:p>
        </w:tc>
        <w:tc>
          <w:tcPr>
            <w:tcW w:w="1991" w:type="dxa"/>
            <w:vAlign w:val="center"/>
          </w:tcPr>
          <w:p w14:paraId="5BE58F38" w14:textId="6A51002A" w:rsidR="00271864" w:rsidRPr="00271864" w:rsidRDefault="00271864" w:rsidP="00271864">
            <w:pPr>
              <w:jc w:val="center"/>
              <w:rPr>
                <w:rFonts w:eastAsia="Times New Roman" w:cstheme="minorHAnsi"/>
                <w:color w:val="000000"/>
                <w:sz w:val="20"/>
                <w:szCs w:val="20"/>
                <w:lang w:eastAsia="lv-LV"/>
              </w:rPr>
            </w:pPr>
            <w:r w:rsidRPr="00271864">
              <w:rPr>
                <w:rFonts w:eastAsia="Times New Roman" w:cstheme="minorHAnsi"/>
                <w:color w:val="000000"/>
                <w:sz w:val="20"/>
                <w:szCs w:val="20"/>
                <w:lang w:eastAsia="lv-LV"/>
              </w:rPr>
              <w:t>Faktiski ārstēto/apmeklējumu pacientu skaits 202</w:t>
            </w:r>
            <w:r w:rsidR="00D96B3A">
              <w:rPr>
                <w:rFonts w:eastAsia="Times New Roman" w:cstheme="minorHAnsi"/>
                <w:color w:val="000000"/>
                <w:sz w:val="20"/>
                <w:szCs w:val="20"/>
                <w:lang w:eastAsia="lv-LV"/>
              </w:rPr>
              <w:t>1</w:t>
            </w:r>
            <w:r w:rsidRPr="00271864">
              <w:rPr>
                <w:rFonts w:eastAsia="Times New Roman" w:cstheme="minorHAnsi"/>
                <w:color w:val="000000"/>
                <w:sz w:val="20"/>
                <w:szCs w:val="20"/>
                <w:lang w:eastAsia="lv-LV"/>
              </w:rPr>
              <w:t>.gadā</w:t>
            </w:r>
          </w:p>
        </w:tc>
        <w:tc>
          <w:tcPr>
            <w:tcW w:w="2116" w:type="dxa"/>
            <w:vAlign w:val="center"/>
          </w:tcPr>
          <w:p w14:paraId="10B42CB1" w14:textId="212BFA59"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Plānotais pacientu/apmeklējumu skaits līgumā 202</w:t>
            </w:r>
            <w:r w:rsidR="00D96B3A">
              <w:rPr>
                <w:rFonts w:eastAsia="Times New Roman" w:cstheme="minorHAnsi"/>
                <w:color w:val="000000"/>
                <w:sz w:val="20"/>
                <w:szCs w:val="20"/>
                <w:lang w:eastAsia="lv-LV"/>
              </w:rPr>
              <w:t>2</w:t>
            </w:r>
            <w:r w:rsidRPr="00271864">
              <w:rPr>
                <w:rFonts w:eastAsia="Times New Roman" w:cstheme="minorHAnsi"/>
                <w:color w:val="000000"/>
                <w:sz w:val="20"/>
                <w:szCs w:val="20"/>
                <w:lang w:eastAsia="lv-LV"/>
              </w:rPr>
              <w:t>.gadā</w:t>
            </w:r>
          </w:p>
        </w:tc>
        <w:tc>
          <w:tcPr>
            <w:tcW w:w="2116" w:type="dxa"/>
            <w:vAlign w:val="center"/>
          </w:tcPr>
          <w:p w14:paraId="6B233181" w14:textId="5D633F97" w:rsidR="00271864" w:rsidRPr="00271864" w:rsidRDefault="00271864" w:rsidP="00271864">
            <w:pPr>
              <w:jc w:val="center"/>
              <w:rPr>
                <w:rFonts w:cstheme="minorHAnsi"/>
                <w:sz w:val="20"/>
                <w:szCs w:val="20"/>
              </w:rPr>
            </w:pPr>
            <w:r w:rsidRPr="00271864">
              <w:rPr>
                <w:rFonts w:eastAsia="Times New Roman" w:cstheme="minorHAnsi"/>
                <w:color w:val="000000"/>
                <w:sz w:val="20"/>
                <w:szCs w:val="20"/>
                <w:lang w:eastAsia="lv-LV"/>
              </w:rPr>
              <w:t>Faktiski ārstēto pacientu/apmeklējumu skaits 202</w:t>
            </w:r>
            <w:r w:rsidR="00D96B3A">
              <w:rPr>
                <w:rFonts w:eastAsia="Times New Roman" w:cstheme="minorHAnsi"/>
                <w:color w:val="000000"/>
                <w:sz w:val="20"/>
                <w:szCs w:val="20"/>
                <w:lang w:eastAsia="lv-LV"/>
              </w:rPr>
              <w:t>2</w:t>
            </w:r>
            <w:r w:rsidRPr="00271864">
              <w:rPr>
                <w:rFonts w:eastAsia="Times New Roman" w:cstheme="minorHAnsi"/>
                <w:color w:val="000000"/>
                <w:sz w:val="20"/>
                <w:szCs w:val="20"/>
                <w:lang w:eastAsia="lv-LV"/>
              </w:rPr>
              <w:t>.gadā</w:t>
            </w:r>
          </w:p>
        </w:tc>
        <w:tc>
          <w:tcPr>
            <w:tcW w:w="1073" w:type="dxa"/>
            <w:vAlign w:val="center"/>
          </w:tcPr>
          <w:p w14:paraId="39A49DA6" w14:textId="55AFFAA9" w:rsidR="00271864" w:rsidRPr="00271864" w:rsidRDefault="00271864" w:rsidP="00271864">
            <w:pPr>
              <w:jc w:val="center"/>
              <w:rPr>
                <w:rFonts w:eastAsia="Times New Roman" w:cstheme="minorHAnsi"/>
                <w:color w:val="000000"/>
                <w:sz w:val="20"/>
                <w:szCs w:val="20"/>
                <w:lang w:eastAsia="lv-LV"/>
              </w:rPr>
            </w:pPr>
            <w:r w:rsidRPr="00271864">
              <w:rPr>
                <w:rFonts w:cstheme="minorHAnsi"/>
                <w:sz w:val="20"/>
                <w:szCs w:val="20"/>
              </w:rPr>
              <w:t>Novirze pret 202</w:t>
            </w:r>
            <w:r w:rsidR="00D96B3A">
              <w:rPr>
                <w:rFonts w:cstheme="minorHAnsi"/>
                <w:sz w:val="20"/>
                <w:szCs w:val="20"/>
              </w:rPr>
              <w:t>1</w:t>
            </w:r>
            <w:r w:rsidRPr="00271864">
              <w:rPr>
                <w:rFonts w:cstheme="minorHAnsi"/>
                <w:sz w:val="20"/>
                <w:szCs w:val="20"/>
              </w:rPr>
              <w:t>.gadu</w:t>
            </w:r>
          </w:p>
        </w:tc>
      </w:tr>
      <w:tr w:rsidR="007764E2" w:rsidRPr="00271864" w14:paraId="615A0764" w14:textId="7B40AFBC" w:rsidTr="00D96B3A">
        <w:trPr>
          <w:trHeight w:val="420"/>
          <w:jc w:val="center"/>
        </w:trPr>
        <w:tc>
          <w:tcPr>
            <w:tcW w:w="2197" w:type="dxa"/>
          </w:tcPr>
          <w:p w14:paraId="67F91D6D" w14:textId="77777777" w:rsidR="007764E2" w:rsidRPr="00271864" w:rsidRDefault="007764E2" w:rsidP="007764E2">
            <w:pPr>
              <w:rPr>
                <w:rFonts w:cstheme="minorHAnsi"/>
                <w:sz w:val="20"/>
                <w:szCs w:val="20"/>
              </w:rPr>
            </w:pPr>
            <w:proofErr w:type="spellStart"/>
            <w:r w:rsidRPr="00271864">
              <w:rPr>
                <w:rFonts w:cstheme="minorHAnsi"/>
                <w:sz w:val="20"/>
                <w:szCs w:val="20"/>
              </w:rPr>
              <w:t>Neiroelektrofizioloģiskie</w:t>
            </w:r>
            <w:proofErr w:type="spellEnd"/>
            <w:r w:rsidRPr="00271864">
              <w:rPr>
                <w:rFonts w:cstheme="minorHAnsi"/>
                <w:sz w:val="20"/>
                <w:szCs w:val="20"/>
              </w:rPr>
              <w:t xml:space="preserve"> funkcionālie izmeklējumi</w:t>
            </w:r>
          </w:p>
        </w:tc>
        <w:tc>
          <w:tcPr>
            <w:tcW w:w="1991" w:type="dxa"/>
            <w:vAlign w:val="center"/>
          </w:tcPr>
          <w:p w14:paraId="5AEAC4CC" w14:textId="3879D968" w:rsidR="007764E2" w:rsidRPr="00271864" w:rsidRDefault="007764E2" w:rsidP="007764E2">
            <w:pPr>
              <w:jc w:val="center"/>
              <w:rPr>
                <w:rFonts w:cstheme="minorHAnsi"/>
                <w:sz w:val="20"/>
                <w:szCs w:val="20"/>
              </w:rPr>
            </w:pPr>
            <w:r>
              <w:rPr>
                <w:rFonts w:cstheme="minorHAnsi"/>
                <w:sz w:val="20"/>
                <w:szCs w:val="20"/>
              </w:rPr>
              <w:t>252</w:t>
            </w:r>
          </w:p>
        </w:tc>
        <w:tc>
          <w:tcPr>
            <w:tcW w:w="2116" w:type="dxa"/>
            <w:vAlign w:val="center"/>
          </w:tcPr>
          <w:p w14:paraId="7B8CBD04" w14:textId="559ECAA1" w:rsidR="007764E2" w:rsidRPr="00271864" w:rsidRDefault="00B62ED8" w:rsidP="007764E2">
            <w:pPr>
              <w:jc w:val="center"/>
              <w:rPr>
                <w:rFonts w:cstheme="minorHAnsi"/>
                <w:sz w:val="20"/>
                <w:szCs w:val="20"/>
              </w:rPr>
            </w:pPr>
            <w:r>
              <w:rPr>
                <w:rFonts w:cstheme="minorHAnsi"/>
                <w:sz w:val="20"/>
                <w:szCs w:val="20"/>
              </w:rPr>
              <w:t>269</w:t>
            </w:r>
          </w:p>
        </w:tc>
        <w:tc>
          <w:tcPr>
            <w:tcW w:w="2116" w:type="dxa"/>
            <w:vAlign w:val="center"/>
          </w:tcPr>
          <w:p w14:paraId="613C4CC5" w14:textId="07D2275C" w:rsidR="007764E2" w:rsidRPr="00271864" w:rsidRDefault="009E46AF" w:rsidP="007764E2">
            <w:pPr>
              <w:jc w:val="center"/>
              <w:rPr>
                <w:rFonts w:cstheme="minorHAnsi"/>
                <w:sz w:val="20"/>
                <w:szCs w:val="20"/>
              </w:rPr>
            </w:pPr>
            <w:r>
              <w:rPr>
                <w:rFonts w:cstheme="minorHAnsi"/>
                <w:sz w:val="20"/>
                <w:szCs w:val="20"/>
              </w:rPr>
              <w:t>250</w:t>
            </w:r>
          </w:p>
        </w:tc>
        <w:tc>
          <w:tcPr>
            <w:tcW w:w="1073" w:type="dxa"/>
            <w:vAlign w:val="center"/>
          </w:tcPr>
          <w:p w14:paraId="7BA2B59B" w14:textId="5E213450" w:rsidR="007764E2" w:rsidRPr="00271864" w:rsidRDefault="009E46AF" w:rsidP="007764E2">
            <w:pPr>
              <w:jc w:val="center"/>
              <w:rPr>
                <w:rFonts w:cstheme="minorHAnsi"/>
                <w:sz w:val="20"/>
                <w:szCs w:val="20"/>
              </w:rPr>
            </w:pPr>
            <w:r>
              <w:rPr>
                <w:rFonts w:cstheme="minorHAnsi"/>
                <w:sz w:val="20"/>
                <w:szCs w:val="20"/>
              </w:rPr>
              <w:t>-2</w:t>
            </w:r>
          </w:p>
        </w:tc>
      </w:tr>
      <w:tr w:rsidR="007764E2" w:rsidRPr="00271864" w14:paraId="1AE3E552" w14:textId="2C1DF452" w:rsidTr="00D96B3A">
        <w:trPr>
          <w:trHeight w:val="647"/>
          <w:jc w:val="center"/>
        </w:trPr>
        <w:tc>
          <w:tcPr>
            <w:tcW w:w="2197" w:type="dxa"/>
          </w:tcPr>
          <w:p w14:paraId="55DA81C3" w14:textId="77777777" w:rsidR="007764E2" w:rsidRPr="00271864" w:rsidRDefault="007764E2" w:rsidP="007764E2">
            <w:pPr>
              <w:rPr>
                <w:rFonts w:cstheme="minorHAnsi"/>
                <w:sz w:val="20"/>
                <w:szCs w:val="20"/>
              </w:rPr>
            </w:pPr>
            <w:r w:rsidRPr="00271864">
              <w:rPr>
                <w:rFonts w:cstheme="minorHAnsi"/>
                <w:sz w:val="20"/>
                <w:szCs w:val="20"/>
              </w:rPr>
              <w:t>Psihiatrisko slimnieku ārstēšana psihiatriskā profila dienas stacionārā</w:t>
            </w:r>
          </w:p>
        </w:tc>
        <w:tc>
          <w:tcPr>
            <w:tcW w:w="1991" w:type="dxa"/>
            <w:vAlign w:val="center"/>
          </w:tcPr>
          <w:p w14:paraId="3AB0E809" w14:textId="5DBCDCFF" w:rsidR="007764E2" w:rsidRPr="00271864" w:rsidRDefault="007764E2" w:rsidP="007764E2">
            <w:pPr>
              <w:jc w:val="center"/>
              <w:rPr>
                <w:rFonts w:cstheme="minorHAnsi"/>
                <w:sz w:val="20"/>
                <w:szCs w:val="20"/>
              </w:rPr>
            </w:pPr>
            <w:r>
              <w:rPr>
                <w:rFonts w:cstheme="minorHAnsi"/>
                <w:sz w:val="20"/>
                <w:szCs w:val="20"/>
              </w:rPr>
              <w:t>1064</w:t>
            </w:r>
          </w:p>
        </w:tc>
        <w:tc>
          <w:tcPr>
            <w:tcW w:w="2116" w:type="dxa"/>
            <w:vAlign w:val="center"/>
          </w:tcPr>
          <w:p w14:paraId="2FC28513" w14:textId="4D52DB71" w:rsidR="007764E2" w:rsidRPr="00271864" w:rsidRDefault="006A4D76" w:rsidP="007764E2">
            <w:pPr>
              <w:jc w:val="center"/>
              <w:rPr>
                <w:rFonts w:cstheme="minorHAnsi"/>
                <w:sz w:val="20"/>
                <w:szCs w:val="20"/>
              </w:rPr>
            </w:pPr>
            <w:r>
              <w:rPr>
                <w:rFonts w:cstheme="minorHAnsi"/>
                <w:sz w:val="20"/>
                <w:szCs w:val="20"/>
              </w:rPr>
              <w:t>1946</w:t>
            </w:r>
          </w:p>
        </w:tc>
        <w:tc>
          <w:tcPr>
            <w:tcW w:w="2116" w:type="dxa"/>
            <w:vAlign w:val="center"/>
          </w:tcPr>
          <w:p w14:paraId="547801A4" w14:textId="518D6F62" w:rsidR="007764E2" w:rsidRPr="00271864" w:rsidRDefault="00E74679" w:rsidP="007764E2">
            <w:pPr>
              <w:jc w:val="center"/>
              <w:rPr>
                <w:rFonts w:cstheme="minorHAnsi"/>
                <w:sz w:val="20"/>
                <w:szCs w:val="20"/>
              </w:rPr>
            </w:pPr>
            <w:r>
              <w:rPr>
                <w:rFonts w:cstheme="minorHAnsi"/>
                <w:sz w:val="20"/>
                <w:szCs w:val="20"/>
              </w:rPr>
              <w:t>1322</w:t>
            </w:r>
          </w:p>
        </w:tc>
        <w:tc>
          <w:tcPr>
            <w:tcW w:w="1073" w:type="dxa"/>
            <w:vAlign w:val="center"/>
          </w:tcPr>
          <w:p w14:paraId="1432AEC1" w14:textId="69DCABB4" w:rsidR="007764E2" w:rsidRPr="00271864" w:rsidRDefault="007764E2" w:rsidP="007764E2">
            <w:pPr>
              <w:jc w:val="center"/>
              <w:rPr>
                <w:rFonts w:cstheme="minorHAnsi"/>
                <w:sz w:val="20"/>
                <w:szCs w:val="20"/>
              </w:rPr>
            </w:pPr>
            <w:r>
              <w:rPr>
                <w:rFonts w:cstheme="minorHAnsi"/>
                <w:sz w:val="20"/>
                <w:szCs w:val="20"/>
              </w:rPr>
              <w:t>+</w:t>
            </w:r>
            <w:r w:rsidR="00E74679">
              <w:rPr>
                <w:rFonts w:cstheme="minorHAnsi"/>
                <w:sz w:val="20"/>
                <w:szCs w:val="20"/>
              </w:rPr>
              <w:t>258</w:t>
            </w:r>
          </w:p>
        </w:tc>
      </w:tr>
      <w:tr w:rsidR="007764E2" w:rsidRPr="00271864" w14:paraId="5206C17A" w14:textId="7766E818" w:rsidTr="00D96B3A">
        <w:trPr>
          <w:trHeight w:val="363"/>
          <w:jc w:val="center"/>
        </w:trPr>
        <w:tc>
          <w:tcPr>
            <w:tcW w:w="2197" w:type="dxa"/>
          </w:tcPr>
          <w:p w14:paraId="33E12E1E" w14:textId="77777777" w:rsidR="007764E2" w:rsidRPr="00271864" w:rsidRDefault="007764E2" w:rsidP="007764E2">
            <w:pPr>
              <w:rPr>
                <w:rFonts w:cstheme="minorHAnsi"/>
                <w:sz w:val="20"/>
                <w:szCs w:val="20"/>
              </w:rPr>
            </w:pPr>
            <w:r w:rsidRPr="00271864">
              <w:rPr>
                <w:rFonts w:cstheme="minorHAnsi"/>
                <w:sz w:val="20"/>
                <w:szCs w:val="20"/>
              </w:rPr>
              <w:t>Narkologa pakalpojumi</w:t>
            </w:r>
          </w:p>
        </w:tc>
        <w:tc>
          <w:tcPr>
            <w:tcW w:w="1991" w:type="dxa"/>
            <w:vAlign w:val="center"/>
          </w:tcPr>
          <w:p w14:paraId="60B2F8A2" w14:textId="3FCBA2F2" w:rsidR="007764E2" w:rsidRPr="00271864" w:rsidRDefault="007764E2" w:rsidP="007764E2">
            <w:pPr>
              <w:jc w:val="center"/>
              <w:rPr>
                <w:rFonts w:cstheme="minorHAnsi"/>
                <w:sz w:val="20"/>
                <w:szCs w:val="20"/>
              </w:rPr>
            </w:pPr>
            <w:r>
              <w:rPr>
                <w:rFonts w:cstheme="minorHAnsi"/>
                <w:sz w:val="20"/>
                <w:szCs w:val="20"/>
              </w:rPr>
              <w:t>2625</w:t>
            </w:r>
          </w:p>
        </w:tc>
        <w:tc>
          <w:tcPr>
            <w:tcW w:w="2116" w:type="dxa"/>
            <w:vAlign w:val="center"/>
          </w:tcPr>
          <w:p w14:paraId="4CF9407C" w14:textId="5C6F39EA" w:rsidR="007764E2" w:rsidRPr="00271864" w:rsidRDefault="006A4D76" w:rsidP="007764E2">
            <w:pPr>
              <w:jc w:val="center"/>
              <w:rPr>
                <w:rFonts w:cstheme="minorHAnsi"/>
                <w:sz w:val="20"/>
                <w:szCs w:val="20"/>
              </w:rPr>
            </w:pPr>
            <w:r>
              <w:rPr>
                <w:rFonts w:cstheme="minorHAnsi"/>
                <w:sz w:val="20"/>
                <w:szCs w:val="20"/>
              </w:rPr>
              <w:t>2528</w:t>
            </w:r>
          </w:p>
        </w:tc>
        <w:tc>
          <w:tcPr>
            <w:tcW w:w="2116" w:type="dxa"/>
            <w:vAlign w:val="center"/>
          </w:tcPr>
          <w:p w14:paraId="112BA287" w14:textId="2F959187" w:rsidR="007764E2" w:rsidRPr="00271864" w:rsidRDefault="002D51AD" w:rsidP="007764E2">
            <w:pPr>
              <w:jc w:val="center"/>
              <w:rPr>
                <w:rFonts w:cstheme="minorHAnsi"/>
                <w:sz w:val="20"/>
                <w:szCs w:val="20"/>
              </w:rPr>
            </w:pPr>
            <w:r>
              <w:rPr>
                <w:rFonts w:cstheme="minorHAnsi"/>
                <w:sz w:val="20"/>
                <w:szCs w:val="20"/>
              </w:rPr>
              <w:t>2622</w:t>
            </w:r>
          </w:p>
        </w:tc>
        <w:tc>
          <w:tcPr>
            <w:tcW w:w="1073" w:type="dxa"/>
            <w:vAlign w:val="center"/>
          </w:tcPr>
          <w:p w14:paraId="41E2D396" w14:textId="03682A4F" w:rsidR="007764E2" w:rsidRPr="00271864" w:rsidRDefault="002D51AD" w:rsidP="007764E2">
            <w:pPr>
              <w:jc w:val="center"/>
              <w:rPr>
                <w:rFonts w:cstheme="minorHAnsi"/>
                <w:sz w:val="20"/>
                <w:szCs w:val="20"/>
              </w:rPr>
            </w:pPr>
            <w:r>
              <w:rPr>
                <w:rFonts w:cstheme="minorHAnsi"/>
                <w:sz w:val="20"/>
                <w:szCs w:val="20"/>
              </w:rPr>
              <w:t>-3</w:t>
            </w:r>
          </w:p>
        </w:tc>
      </w:tr>
      <w:tr w:rsidR="007764E2" w:rsidRPr="00271864" w14:paraId="42C472AB" w14:textId="35DBE681" w:rsidTr="00D96B3A">
        <w:trPr>
          <w:trHeight w:val="260"/>
          <w:jc w:val="center"/>
        </w:trPr>
        <w:tc>
          <w:tcPr>
            <w:tcW w:w="2197" w:type="dxa"/>
          </w:tcPr>
          <w:p w14:paraId="68393425" w14:textId="77777777" w:rsidR="007764E2" w:rsidRPr="00271864" w:rsidRDefault="007764E2" w:rsidP="007764E2">
            <w:pPr>
              <w:rPr>
                <w:rFonts w:cstheme="minorHAnsi"/>
                <w:sz w:val="20"/>
                <w:szCs w:val="20"/>
              </w:rPr>
            </w:pPr>
            <w:r w:rsidRPr="00271864">
              <w:rPr>
                <w:rFonts w:cstheme="minorHAnsi"/>
                <w:sz w:val="20"/>
                <w:szCs w:val="20"/>
              </w:rPr>
              <w:t>Psihiatra pakalpojumi</w:t>
            </w:r>
          </w:p>
        </w:tc>
        <w:tc>
          <w:tcPr>
            <w:tcW w:w="1991" w:type="dxa"/>
            <w:vAlign w:val="center"/>
          </w:tcPr>
          <w:p w14:paraId="75924C93" w14:textId="111660F0" w:rsidR="007764E2" w:rsidRPr="00271864" w:rsidRDefault="007764E2" w:rsidP="007764E2">
            <w:pPr>
              <w:jc w:val="center"/>
              <w:rPr>
                <w:rFonts w:cstheme="minorHAnsi"/>
                <w:sz w:val="20"/>
                <w:szCs w:val="20"/>
              </w:rPr>
            </w:pPr>
            <w:r>
              <w:rPr>
                <w:rFonts w:cstheme="minorHAnsi"/>
                <w:sz w:val="20"/>
                <w:szCs w:val="20"/>
              </w:rPr>
              <w:t>6576</w:t>
            </w:r>
          </w:p>
        </w:tc>
        <w:tc>
          <w:tcPr>
            <w:tcW w:w="2116" w:type="dxa"/>
            <w:vAlign w:val="center"/>
          </w:tcPr>
          <w:p w14:paraId="08909B24" w14:textId="243A78ED" w:rsidR="007764E2" w:rsidRPr="00271864" w:rsidRDefault="007764E2" w:rsidP="007764E2">
            <w:pPr>
              <w:jc w:val="center"/>
              <w:rPr>
                <w:rFonts w:cstheme="minorHAnsi"/>
                <w:sz w:val="20"/>
                <w:szCs w:val="20"/>
              </w:rPr>
            </w:pPr>
            <w:r>
              <w:rPr>
                <w:rFonts w:cstheme="minorHAnsi"/>
                <w:sz w:val="20"/>
                <w:szCs w:val="20"/>
              </w:rPr>
              <w:t>*tāmes finansējums</w:t>
            </w:r>
          </w:p>
        </w:tc>
        <w:tc>
          <w:tcPr>
            <w:tcW w:w="2116" w:type="dxa"/>
            <w:vAlign w:val="center"/>
          </w:tcPr>
          <w:p w14:paraId="2E9C71BF" w14:textId="1D548730" w:rsidR="007764E2" w:rsidRPr="00271864" w:rsidRDefault="002D51AD" w:rsidP="007764E2">
            <w:pPr>
              <w:jc w:val="center"/>
              <w:rPr>
                <w:rFonts w:cstheme="minorHAnsi"/>
                <w:sz w:val="20"/>
                <w:szCs w:val="20"/>
              </w:rPr>
            </w:pPr>
            <w:r>
              <w:rPr>
                <w:rFonts w:cstheme="minorHAnsi"/>
                <w:sz w:val="20"/>
                <w:szCs w:val="20"/>
              </w:rPr>
              <w:t>4973</w:t>
            </w:r>
          </w:p>
        </w:tc>
        <w:tc>
          <w:tcPr>
            <w:tcW w:w="1073" w:type="dxa"/>
            <w:vAlign w:val="center"/>
          </w:tcPr>
          <w:p w14:paraId="5026A181" w14:textId="4EBCE8A5" w:rsidR="007764E2" w:rsidRPr="00271864" w:rsidRDefault="00402FF5" w:rsidP="007764E2">
            <w:pPr>
              <w:jc w:val="center"/>
              <w:rPr>
                <w:rFonts w:cstheme="minorHAnsi"/>
                <w:sz w:val="20"/>
                <w:szCs w:val="20"/>
              </w:rPr>
            </w:pPr>
            <w:r>
              <w:rPr>
                <w:rFonts w:cstheme="minorHAnsi"/>
                <w:sz w:val="20"/>
                <w:szCs w:val="20"/>
              </w:rPr>
              <w:t>-1603</w:t>
            </w:r>
          </w:p>
        </w:tc>
      </w:tr>
      <w:tr w:rsidR="007764E2" w:rsidRPr="00271864" w14:paraId="25089A1F" w14:textId="750EA601" w:rsidTr="00D96B3A">
        <w:trPr>
          <w:trHeight w:val="420"/>
          <w:jc w:val="center"/>
        </w:trPr>
        <w:tc>
          <w:tcPr>
            <w:tcW w:w="2197" w:type="dxa"/>
          </w:tcPr>
          <w:p w14:paraId="056FF280" w14:textId="77777777" w:rsidR="007764E2" w:rsidRPr="00271864" w:rsidRDefault="007764E2" w:rsidP="007764E2">
            <w:pPr>
              <w:rPr>
                <w:rFonts w:cstheme="minorHAnsi"/>
                <w:sz w:val="20"/>
                <w:szCs w:val="20"/>
              </w:rPr>
            </w:pPr>
            <w:r w:rsidRPr="00271864">
              <w:rPr>
                <w:rFonts w:cstheme="minorHAnsi"/>
                <w:sz w:val="20"/>
                <w:szCs w:val="20"/>
              </w:rPr>
              <w:t>Tiesu psihiatriskā un psiholoģiskā ekspertīze</w:t>
            </w:r>
          </w:p>
        </w:tc>
        <w:tc>
          <w:tcPr>
            <w:tcW w:w="1991" w:type="dxa"/>
            <w:vAlign w:val="center"/>
          </w:tcPr>
          <w:p w14:paraId="32B6CCF3" w14:textId="431A3499" w:rsidR="007764E2" w:rsidRPr="00271864" w:rsidRDefault="007764E2" w:rsidP="007764E2">
            <w:pPr>
              <w:jc w:val="center"/>
              <w:rPr>
                <w:rFonts w:cstheme="minorHAnsi"/>
                <w:sz w:val="20"/>
                <w:szCs w:val="20"/>
              </w:rPr>
            </w:pPr>
            <w:r>
              <w:rPr>
                <w:rFonts w:cstheme="minorHAnsi"/>
                <w:sz w:val="20"/>
                <w:szCs w:val="20"/>
              </w:rPr>
              <w:t>41</w:t>
            </w:r>
          </w:p>
        </w:tc>
        <w:tc>
          <w:tcPr>
            <w:tcW w:w="2116" w:type="dxa"/>
            <w:vAlign w:val="center"/>
          </w:tcPr>
          <w:p w14:paraId="29E165D0" w14:textId="31714341" w:rsidR="007764E2" w:rsidRPr="00271864" w:rsidRDefault="006A4D76" w:rsidP="007764E2">
            <w:pPr>
              <w:jc w:val="center"/>
              <w:rPr>
                <w:rFonts w:cstheme="minorHAnsi"/>
                <w:sz w:val="20"/>
                <w:szCs w:val="20"/>
              </w:rPr>
            </w:pPr>
            <w:r>
              <w:rPr>
                <w:rFonts w:cstheme="minorHAnsi"/>
                <w:sz w:val="20"/>
                <w:szCs w:val="20"/>
              </w:rPr>
              <w:t>60</w:t>
            </w:r>
          </w:p>
        </w:tc>
        <w:tc>
          <w:tcPr>
            <w:tcW w:w="2116" w:type="dxa"/>
            <w:vAlign w:val="center"/>
          </w:tcPr>
          <w:p w14:paraId="470BA6BE" w14:textId="1D229A76" w:rsidR="007764E2" w:rsidRPr="00271864" w:rsidRDefault="00FF4D59" w:rsidP="007764E2">
            <w:pPr>
              <w:jc w:val="center"/>
              <w:rPr>
                <w:rFonts w:cstheme="minorHAnsi"/>
                <w:sz w:val="20"/>
                <w:szCs w:val="20"/>
              </w:rPr>
            </w:pPr>
            <w:r>
              <w:rPr>
                <w:rFonts w:cstheme="minorHAnsi"/>
                <w:sz w:val="20"/>
                <w:szCs w:val="20"/>
              </w:rPr>
              <w:t>42</w:t>
            </w:r>
          </w:p>
        </w:tc>
        <w:tc>
          <w:tcPr>
            <w:tcW w:w="1073" w:type="dxa"/>
            <w:vAlign w:val="center"/>
          </w:tcPr>
          <w:p w14:paraId="4E0373E4" w14:textId="4BD6EB42" w:rsidR="007764E2" w:rsidRPr="00271864" w:rsidRDefault="007764E2" w:rsidP="007764E2">
            <w:pPr>
              <w:jc w:val="center"/>
              <w:rPr>
                <w:rFonts w:cstheme="minorHAnsi"/>
                <w:sz w:val="20"/>
                <w:szCs w:val="20"/>
              </w:rPr>
            </w:pPr>
            <w:r>
              <w:rPr>
                <w:rFonts w:cstheme="minorHAnsi"/>
                <w:sz w:val="20"/>
                <w:szCs w:val="20"/>
              </w:rPr>
              <w:t>+</w:t>
            </w:r>
            <w:r w:rsidR="00FF4D59">
              <w:rPr>
                <w:rFonts w:cstheme="minorHAnsi"/>
                <w:sz w:val="20"/>
                <w:szCs w:val="20"/>
              </w:rPr>
              <w:t>1</w:t>
            </w:r>
          </w:p>
        </w:tc>
      </w:tr>
      <w:tr w:rsidR="007764E2" w:rsidRPr="00271864" w14:paraId="7BBDA805" w14:textId="7581D1A9" w:rsidTr="00D96B3A">
        <w:trPr>
          <w:trHeight w:val="210"/>
          <w:jc w:val="center"/>
        </w:trPr>
        <w:tc>
          <w:tcPr>
            <w:tcW w:w="2197" w:type="dxa"/>
          </w:tcPr>
          <w:p w14:paraId="560D5B98" w14:textId="77777777" w:rsidR="007764E2" w:rsidRPr="00271864" w:rsidRDefault="007764E2" w:rsidP="007764E2">
            <w:pPr>
              <w:rPr>
                <w:rFonts w:cstheme="minorHAnsi"/>
                <w:sz w:val="20"/>
                <w:szCs w:val="20"/>
              </w:rPr>
            </w:pPr>
            <w:proofErr w:type="spellStart"/>
            <w:r w:rsidRPr="00271864">
              <w:rPr>
                <w:rFonts w:cstheme="minorHAnsi"/>
                <w:sz w:val="20"/>
                <w:szCs w:val="20"/>
              </w:rPr>
              <w:t>Metadona</w:t>
            </w:r>
            <w:proofErr w:type="spellEnd"/>
            <w:r w:rsidRPr="00271864">
              <w:rPr>
                <w:rFonts w:cstheme="minorHAnsi"/>
                <w:sz w:val="20"/>
                <w:szCs w:val="20"/>
              </w:rPr>
              <w:t xml:space="preserve"> aizvietojoša terapija</w:t>
            </w:r>
          </w:p>
        </w:tc>
        <w:tc>
          <w:tcPr>
            <w:tcW w:w="1991" w:type="dxa"/>
            <w:vAlign w:val="center"/>
          </w:tcPr>
          <w:p w14:paraId="597FC93C" w14:textId="1BA59403" w:rsidR="007764E2" w:rsidRPr="00271864" w:rsidRDefault="007764E2" w:rsidP="007764E2">
            <w:pPr>
              <w:jc w:val="center"/>
              <w:rPr>
                <w:rFonts w:cstheme="minorHAnsi"/>
                <w:sz w:val="20"/>
                <w:szCs w:val="20"/>
              </w:rPr>
            </w:pPr>
            <w:r>
              <w:rPr>
                <w:rFonts w:cstheme="minorHAnsi"/>
                <w:sz w:val="20"/>
                <w:szCs w:val="20"/>
              </w:rPr>
              <w:t>11857</w:t>
            </w:r>
          </w:p>
        </w:tc>
        <w:tc>
          <w:tcPr>
            <w:tcW w:w="2116" w:type="dxa"/>
            <w:vAlign w:val="center"/>
          </w:tcPr>
          <w:p w14:paraId="1657D5AC" w14:textId="28F47CF6" w:rsidR="007764E2" w:rsidRPr="00271864" w:rsidRDefault="001D3059" w:rsidP="007764E2">
            <w:pPr>
              <w:jc w:val="center"/>
              <w:rPr>
                <w:rFonts w:cstheme="minorHAnsi"/>
                <w:sz w:val="20"/>
                <w:szCs w:val="20"/>
              </w:rPr>
            </w:pPr>
            <w:r>
              <w:rPr>
                <w:rFonts w:cstheme="minorHAnsi"/>
                <w:sz w:val="20"/>
                <w:szCs w:val="20"/>
              </w:rPr>
              <w:t>10 585</w:t>
            </w:r>
          </w:p>
        </w:tc>
        <w:tc>
          <w:tcPr>
            <w:tcW w:w="2116" w:type="dxa"/>
            <w:vAlign w:val="center"/>
          </w:tcPr>
          <w:p w14:paraId="42ACD6EA" w14:textId="1CD25A62" w:rsidR="007764E2" w:rsidRPr="00271864" w:rsidRDefault="00840652" w:rsidP="007764E2">
            <w:pPr>
              <w:jc w:val="center"/>
              <w:rPr>
                <w:rFonts w:cstheme="minorHAnsi"/>
                <w:sz w:val="20"/>
                <w:szCs w:val="20"/>
              </w:rPr>
            </w:pPr>
            <w:r>
              <w:rPr>
                <w:rFonts w:cstheme="minorHAnsi"/>
                <w:sz w:val="20"/>
                <w:szCs w:val="20"/>
              </w:rPr>
              <w:t>10919</w:t>
            </w:r>
          </w:p>
        </w:tc>
        <w:tc>
          <w:tcPr>
            <w:tcW w:w="1073" w:type="dxa"/>
            <w:vAlign w:val="center"/>
          </w:tcPr>
          <w:p w14:paraId="10552673" w14:textId="6C31B944" w:rsidR="007764E2" w:rsidRPr="00271864" w:rsidRDefault="007764E2" w:rsidP="007764E2">
            <w:pPr>
              <w:jc w:val="center"/>
              <w:rPr>
                <w:rFonts w:cstheme="minorHAnsi"/>
                <w:sz w:val="20"/>
                <w:szCs w:val="20"/>
              </w:rPr>
            </w:pPr>
            <w:r>
              <w:rPr>
                <w:rFonts w:cstheme="minorHAnsi"/>
                <w:sz w:val="20"/>
                <w:szCs w:val="20"/>
              </w:rPr>
              <w:t>-</w:t>
            </w:r>
            <w:r w:rsidR="00C205EF">
              <w:rPr>
                <w:rFonts w:cstheme="minorHAnsi"/>
                <w:sz w:val="20"/>
                <w:szCs w:val="20"/>
              </w:rPr>
              <w:t>938</w:t>
            </w:r>
          </w:p>
        </w:tc>
      </w:tr>
    </w:tbl>
    <w:p w14:paraId="7D46C787" w14:textId="004DAA24" w:rsidR="00B55769" w:rsidRDefault="00B55769" w:rsidP="00712DD6">
      <w:pPr>
        <w:spacing w:before="100" w:beforeAutospacing="1" w:after="100" w:afterAutospacing="1"/>
        <w:jc w:val="both"/>
        <w:rPr>
          <w:rFonts w:cstheme="minorHAnsi"/>
        </w:rPr>
      </w:pPr>
      <w:r w:rsidRPr="003D07A2">
        <w:rPr>
          <w:rFonts w:cstheme="minorHAnsi"/>
        </w:rPr>
        <w:t xml:space="preserve">Pārskata </w:t>
      </w:r>
      <w:r w:rsidR="00A606ED">
        <w:rPr>
          <w:rFonts w:cstheme="minorHAnsi"/>
        </w:rPr>
        <w:t xml:space="preserve">periodā pacientu plūsma </w:t>
      </w:r>
      <w:r w:rsidR="006E71A3">
        <w:rPr>
          <w:rFonts w:cstheme="minorHAnsi"/>
        </w:rPr>
        <w:t>Dienas stacionār</w:t>
      </w:r>
      <w:r w:rsidR="00130752">
        <w:rPr>
          <w:rFonts w:cstheme="minorHAnsi"/>
        </w:rPr>
        <w:t xml:space="preserve">ā </w:t>
      </w:r>
      <w:r w:rsidR="00A606ED">
        <w:rPr>
          <w:rFonts w:cstheme="minorHAnsi"/>
        </w:rPr>
        <w:t>palielinās</w:t>
      </w:r>
      <w:r w:rsidR="00391980">
        <w:rPr>
          <w:rFonts w:cstheme="minorHAnsi"/>
        </w:rPr>
        <w:t>, salīdzinoši ar 2021.gadu</w:t>
      </w:r>
      <w:r w:rsidR="00130752">
        <w:rPr>
          <w:rFonts w:cstheme="minorHAnsi"/>
        </w:rPr>
        <w:t xml:space="preserve">, </w:t>
      </w:r>
      <w:r w:rsidR="004647B7">
        <w:rPr>
          <w:rFonts w:cstheme="minorHAnsi"/>
        </w:rPr>
        <w:t xml:space="preserve">savukārt psihiatra </w:t>
      </w:r>
      <w:r w:rsidR="00E21909">
        <w:rPr>
          <w:rFonts w:cstheme="minorHAnsi"/>
        </w:rPr>
        <w:t xml:space="preserve">tiešo </w:t>
      </w:r>
      <w:r w:rsidR="004647B7">
        <w:rPr>
          <w:rFonts w:cstheme="minorHAnsi"/>
        </w:rPr>
        <w:t>apmeklējumu skaits samazinās</w:t>
      </w:r>
      <w:r w:rsidR="00E21909">
        <w:rPr>
          <w:rFonts w:cstheme="minorHAnsi"/>
        </w:rPr>
        <w:t xml:space="preserve">, bet pieaug attālināto </w:t>
      </w:r>
      <w:r w:rsidR="008817E2">
        <w:rPr>
          <w:rFonts w:cstheme="minorHAnsi"/>
        </w:rPr>
        <w:t>konsultāciju skaits ( 2022.gadā pieaugušajiem 1402, bērniem 95 konsultācijas).</w:t>
      </w:r>
    </w:p>
    <w:p w14:paraId="6EFCAD07" w14:textId="77777777" w:rsidR="00605564" w:rsidRPr="003D07A2" w:rsidRDefault="00605564" w:rsidP="00712DD6">
      <w:pPr>
        <w:spacing w:before="100" w:beforeAutospacing="1" w:after="100" w:afterAutospacing="1"/>
        <w:jc w:val="both"/>
        <w:rPr>
          <w:rFonts w:cstheme="minorHAnsi"/>
        </w:rPr>
      </w:pPr>
    </w:p>
    <w:p w14:paraId="770A5F6F" w14:textId="2400A2F1" w:rsidR="003B1EDB" w:rsidRDefault="0010757F" w:rsidP="00E8377F">
      <w:pPr>
        <w:spacing w:before="100" w:beforeAutospacing="1" w:after="100" w:afterAutospacing="1"/>
        <w:jc w:val="both"/>
        <w:rPr>
          <w:rFonts w:cstheme="minorHAnsi"/>
        </w:rPr>
      </w:pPr>
      <w:r w:rsidRPr="003D07A2">
        <w:rPr>
          <w:rFonts w:cstheme="minorHAnsi"/>
        </w:rPr>
        <w:t xml:space="preserve">Saskaņā ar Sabiedrības vidēja termiņa darbības stratēģiju 2020.-2022.gadam </w:t>
      </w:r>
      <w:proofErr w:type="spellStart"/>
      <w:r w:rsidRPr="003D07A2">
        <w:rPr>
          <w:rFonts w:cstheme="minorHAnsi"/>
        </w:rPr>
        <w:t>nefinanšu</w:t>
      </w:r>
      <w:proofErr w:type="spellEnd"/>
      <w:r w:rsidRPr="003D07A2">
        <w:rPr>
          <w:rFonts w:cstheme="minorHAnsi"/>
        </w:rPr>
        <w:t xml:space="preserve"> mērķis ir veselības aprūpes pakalpojuma pieejamības uzlabošana, veselības aprūpes pakalpojumu plānošanas un sniegšanas efektivitātes nodrošināšana un veselības aprūpes pakalpojumu sniegšanas kvalitātes nodrošināšana.</w:t>
      </w:r>
    </w:p>
    <w:p w14:paraId="4777CC25" w14:textId="77777777" w:rsidR="003B1EDB" w:rsidRDefault="003B1EDB">
      <w:pPr>
        <w:rPr>
          <w:rFonts w:cstheme="minorHAnsi"/>
        </w:rPr>
      </w:pPr>
      <w:r>
        <w:rPr>
          <w:rFonts w:cstheme="minorHAnsi"/>
        </w:rPr>
        <w:br w:type="page"/>
      </w:r>
    </w:p>
    <w:p w14:paraId="6BFEAB5B" w14:textId="77777777" w:rsidR="00712DD6" w:rsidRPr="003D07A2" w:rsidRDefault="00712DD6" w:rsidP="00E8377F">
      <w:pPr>
        <w:spacing w:before="100" w:beforeAutospacing="1" w:after="100" w:afterAutospacing="1"/>
        <w:jc w:val="both"/>
        <w:rPr>
          <w:rFonts w:cstheme="minorHAnsi"/>
        </w:rPr>
      </w:pPr>
    </w:p>
    <w:p w14:paraId="4A72332E" w14:textId="3C1C3032" w:rsidR="0010757F" w:rsidRPr="003D07A2" w:rsidRDefault="0010757F" w:rsidP="00712DD6">
      <w:pPr>
        <w:spacing w:before="100" w:beforeAutospacing="1" w:after="100" w:afterAutospacing="1"/>
        <w:jc w:val="center"/>
        <w:rPr>
          <w:rFonts w:cstheme="minorHAnsi"/>
          <w:b/>
          <w:bCs/>
        </w:rPr>
      </w:pPr>
      <w:proofErr w:type="spellStart"/>
      <w:r w:rsidRPr="003D07A2">
        <w:rPr>
          <w:rFonts w:cstheme="minorHAnsi"/>
          <w:b/>
          <w:bCs/>
        </w:rPr>
        <w:t>Nefinanšu</w:t>
      </w:r>
      <w:proofErr w:type="spellEnd"/>
      <w:r w:rsidRPr="003D07A2">
        <w:rPr>
          <w:rFonts w:cstheme="minorHAnsi"/>
          <w:b/>
          <w:bCs/>
        </w:rPr>
        <w:t xml:space="preserve"> mērķu rezultatīvie rādītāji</w:t>
      </w:r>
    </w:p>
    <w:tbl>
      <w:tblPr>
        <w:tblStyle w:val="Reatabula"/>
        <w:tblW w:w="9067" w:type="dxa"/>
        <w:tblLook w:val="04A0" w:firstRow="1" w:lastRow="0" w:firstColumn="1" w:lastColumn="0" w:noHBand="0" w:noVBand="1"/>
      </w:tblPr>
      <w:tblGrid>
        <w:gridCol w:w="4673"/>
        <w:gridCol w:w="1559"/>
        <w:gridCol w:w="1586"/>
        <w:gridCol w:w="1249"/>
      </w:tblGrid>
      <w:tr w:rsidR="00F51C13" w:rsidRPr="00E8377F" w14:paraId="662721E8" w14:textId="77777777" w:rsidTr="00F51C13">
        <w:trPr>
          <w:trHeight w:val="456"/>
        </w:trPr>
        <w:tc>
          <w:tcPr>
            <w:tcW w:w="4673" w:type="dxa"/>
            <w:vAlign w:val="center"/>
          </w:tcPr>
          <w:p w14:paraId="1A224FAB" w14:textId="77777777" w:rsidR="00F51C13" w:rsidRPr="00E8377F" w:rsidRDefault="00F51C13" w:rsidP="00F51C13">
            <w:pPr>
              <w:jc w:val="center"/>
              <w:rPr>
                <w:rFonts w:cstheme="minorHAnsi"/>
                <w:sz w:val="20"/>
                <w:szCs w:val="20"/>
              </w:rPr>
            </w:pPr>
            <w:r w:rsidRPr="00E8377F">
              <w:rPr>
                <w:rFonts w:cstheme="minorHAnsi"/>
                <w:sz w:val="20"/>
                <w:szCs w:val="20"/>
              </w:rPr>
              <w:t>Rādītājs</w:t>
            </w:r>
          </w:p>
        </w:tc>
        <w:tc>
          <w:tcPr>
            <w:tcW w:w="1559" w:type="dxa"/>
            <w:vAlign w:val="center"/>
          </w:tcPr>
          <w:p w14:paraId="7FD3455D" w14:textId="5B040902" w:rsidR="00F51C13" w:rsidRPr="00E8377F" w:rsidRDefault="00F51C13" w:rsidP="00F51C13">
            <w:pPr>
              <w:jc w:val="center"/>
              <w:rPr>
                <w:rFonts w:cstheme="minorHAnsi"/>
                <w:sz w:val="20"/>
                <w:szCs w:val="20"/>
              </w:rPr>
            </w:pPr>
            <w:r w:rsidRPr="00E8377F">
              <w:rPr>
                <w:rFonts w:cstheme="minorHAnsi"/>
                <w:sz w:val="20"/>
                <w:szCs w:val="20"/>
              </w:rPr>
              <w:t xml:space="preserve">2021.gada </w:t>
            </w:r>
            <w:r w:rsidR="00EF0A95">
              <w:rPr>
                <w:rFonts w:cstheme="minorHAnsi"/>
                <w:sz w:val="20"/>
                <w:szCs w:val="20"/>
              </w:rPr>
              <w:t xml:space="preserve">6 </w:t>
            </w:r>
            <w:proofErr w:type="spellStart"/>
            <w:r w:rsidR="00EF0A95">
              <w:rPr>
                <w:rFonts w:cstheme="minorHAnsi"/>
                <w:sz w:val="20"/>
                <w:szCs w:val="20"/>
              </w:rPr>
              <w:t>mēn</w:t>
            </w:r>
            <w:r w:rsidRPr="00E8377F">
              <w:rPr>
                <w:rFonts w:cstheme="minorHAnsi"/>
                <w:sz w:val="20"/>
                <w:szCs w:val="20"/>
              </w:rPr>
              <w:t>.fakts</w:t>
            </w:r>
            <w:proofErr w:type="spellEnd"/>
          </w:p>
        </w:tc>
        <w:tc>
          <w:tcPr>
            <w:tcW w:w="1586" w:type="dxa"/>
            <w:vAlign w:val="center"/>
          </w:tcPr>
          <w:p w14:paraId="746B18D1" w14:textId="3C7A0F77" w:rsidR="00F51C13" w:rsidRPr="00E8377F" w:rsidRDefault="00F51C13" w:rsidP="00F51C13">
            <w:pPr>
              <w:jc w:val="center"/>
              <w:rPr>
                <w:rFonts w:cstheme="minorHAnsi"/>
                <w:sz w:val="20"/>
                <w:szCs w:val="20"/>
              </w:rPr>
            </w:pPr>
            <w:r w:rsidRPr="00E8377F">
              <w:rPr>
                <w:rFonts w:cstheme="minorHAnsi"/>
                <w:sz w:val="20"/>
                <w:szCs w:val="20"/>
              </w:rPr>
              <w:t>202</w:t>
            </w:r>
            <w:r>
              <w:rPr>
                <w:rFonts w:cstheme="minorHAnsi"/>
                <w:sz w:val="20"/>
                <w:szCs w:val="20"/>
              </w:rPr>
              <w:t>2</w:t>
            </w:r>
            <w:r w:rsidRPr="00E8377F">
              <w:rPr>
                <w:rFonts w:cstheme="minorHAnsi"/>
                <w:sz w:val="20"/>
                <w:szCs w:val="20"/>
              </w:rPr>
              <w:t>.gada plāns</w:t>
            </w:r>
          </w:p>
        </w:tc>
        <w:tc>
          <w:tcPr>
            <w:tcW w:w="1249" w:type="dxa"/>
            <w:vAlign w:val="center"/>
          </w:tcPr>
          <w:p w14:paraId="4BA40ABA" w14:textId="5E5E7D99" w:rsidR="00F51C13" w:rsidRPr="00E8377F" w:rsidRDefault="00F51C13" w:rsidP="00F51C13">
            <w:pPr>
              <w:jc w:val="center"/>
              <w:rPr>
                <w:rFonts w:cstheme="minorHAnsi"/>
                <w:sz w:val="20"/>
                <w:szCs w:val="20"/>
              </w:rPr>
            </w:pPr>
            <w:r w:rsidRPr="00E8377F">
              <w:rPr>
                <w:rFonts w:cstheme="minorHAnsi"/>
                <w:sz w:val="20"/>
                <w:szCs w:val="20"/>
              </w:rPr>
              <w:t>202</w:t>
            </w:r>
            <w:r>
              <w:rPr>
                <w:rFonts w:cstheme="minorHAnsi"/>
                <w:sz w:val="20"/>
                <w:szCs w:val="20"/>
              </w:rPr>
              <w:t>2</w:t>
            </w:r>
            <w:r w:rsidRPr="00E8377F">
              <w:rPr>
                <w:rFonts w:cstheme="minorHAnsi"/>
                <w:sz w:val="20"/>
                <w:szCs w:val="20"/>
              </w:rPr>
              <w:t xml:space="preserve">.gada </w:t>
            </w:r>
            <w:r w:rsidR="00574630">
              <w:rPr>
                <w:rFonts w:cstheme="minorHAnsi"/>
                <w:sz w:val="20"/>
                <w:szCs w:val="20"/>
              </w:rPr>
              <w:t xml:space="preserve">6 </w:t>
            </w:r>
            <w:proofErr w:type="spellStart"/>
            <w:r w:rsidR="00574630">
              <w:rPr>
                <w:rFonts w:cstheme="minorHAnsi"/>
                <w:sz w:val="20"/>
                <w:szCs w:val="20"/>
              </w:rPr>
              <w:t>mēn.</w:t>
            </w:r>
            <w:r w:rsidRPr="00E8377F">
              <w:rPr>
                <w:rFonts w:cstheme="minorHAnsi"/>
                <w:sz w:val="20"/>
                <w:szCs w:val="20"/>
              </w:rPr>
              <w:t>fakts</w:t>
            </w:r>
            <w:proofErr w:type="spellEnd"/>
          </w:p>
        </w:tc>
      </w:tr>
      <w:tr w:rsidR="00700971" w:rsidRPr="00E8377F" w14:paraId="21CE53C5" w14:textId="77777777" w:rsidTr="00F51C13">
        <w:trPr>
          <w:trHeight w:val="469"/>
        </w:trPr>
        <w:tc>
          <w:tcPr>
            <w:tcW w:w="4673" w:type="dxa"/>
            <w:vAlign w:val="center"/>
          </w:tcPr>
          <w:p w14:paraId="064CA59D" w14:textId="17BDAED2" w:rsidR="00700971" w:rsidRPr="00E8377F" w:rsidRDefault="00700971" w:rsidP="00700971">
            <w:pPr>
              <w:rPr>
                <w:rFonts w:cstheme="minorHAnsi"/>
                <w:sz w:val="20"/>
                <w:szCs w:val="20"/>
              </w:rPr>
            </w:pPr>
            <w:r w:rsidRPr="00E8377F">
              <w:rPr>
                <w:rFonts w:cstheme="minorHAnsi"/>
                <w:color w:val="000000"/>
                <w:sz w:val="20"/>
                <w:szCs w:val="20"/>
              </w:rPr>
              <w:t>Kopējais stacionāro gultu skaits (perioda beigās)</w:t>
            </w:r>
          </w:p>
        </w:tc>
        <w:tc>
          <w:tcPr>
            <w:tcW w:w="1559" w:type="dxa"/>
            <w:vAlign w:val="center"/>
          </w:tcPr>
          <w:p w14:paraId="409AD43F" w14:textId="1F38EC9B" w:rsidR="00700971" w:rsidRPr="00E8377F" w:rsidRDefault="00700971" w:rsidP="00700971">
            <w:pPr>
              <w:jc w:val="center"/>
              <w:rPr>
                <w:rFonts w:cstheme="minorHAnsi"/>
                <w:sz w:val="20"/>
                <w:szCs w:val="20"/>
              </w:rPr>
            </w:pPr>
            <w:r>
              <w:rPr>
                <w:rFonts w:cstheme="minorHAnsi"/>
                <w:sz w:val="20"/>
                <w:szCs w:val="20"/>
              </w:rPr>
              <w:t>275</w:t>
            </w:r>
          </w:p>
        </w:tc>
        <w:tc>
          <w:tcPr>
            <w:tcW w:w="1586" w:type="dxa"/>
            <w:vAlign w:val="center"/>
          </w:tcPr>
          <w:p w14:paraId="7C2323E7" w14:textId="77777777" w:rsidR="00700971" w:rsidRPr="00E8377F" w:rsidRDefault="00700971" w:rsidP="00700971">
            <w:pPr>
              <w:jc w:val="center"/>
              <w:rPr>
                <w:rFonts w:cstheme="minorHAnsi"/>
                <w:sz w:val="20"/>
                <w:szCs w:val="20"/>
              </w:rPr>
            </w:pPr>
            <w:r w:rsidRPr="00E8377F">
              <w:rPr>
                <w:rFonts w:cstheme="minorHAnsi"/>
                <w:sz w:val="20"/>
                <w:szCs w:val="20"/>
              </w:rPr>
              <w:t>325</w:t>
            </w:r>
          </w:p>
        </w:tc>
        <w:tc>
          <w:tcPr>
            <w:tcW w:w="1249" w:type="dxa"/>
            <w:vAlign w:val="center"/>
          </w:tcPr>
          <w:p w14:paraId="6B255797" w14:textId="445630B9" w:rsidR="00700971" w:rsidRPr="00E8377F" w:rsidRDefault="00B00F7C" w:rsidP="00700971">
            <w:pPr>
              <w:jc w:val="center"/>
              <w:rPr>
                <w:rFonts w:cstheme="minorHAnsi"/>
                <w:sz w:val="20"/>
                <w:szCs w:val="20"/>
              </w:rPr>
            </w:pPr>
            <w:r>
              <w:rPr>
                <w:rFonts w:cstheme="minorHAnsi"/>
                <w:sz w:val="20"/>
                <w:szCs w:val="20"/>
              </w:rPr>
              <w:t>269</w:t>
            </w:r>
          </w:p>
        </w:tc>
      </w:tr>
      <w:tr w:rsidR="00700971" w:rsidRPr="00E8377F" w14:paraId="1823008E" w14:textId="77777777" w:rsidTr="00F51C13">
        <w:trPr>
          <w:trHeight w:val="531"/>
        </w:trPr>
        <w:tc>
          <w:tcPr>
            <w:tcW w:w="4673" w:type="dxa"/>
            <w:vAlign w:val="center"/>
          </w:tcPr>
          <w:p w14:paraId="03707314" w14:textId="77777777" w:rsidR="00700971" w:rsidRPr="00E8377F" w:rsidRDefault="00700971" w:rsidP="00700971">
            <w:pPr>
              <w:rPr>
                <w:rFonts w:cstheme="minorHAnsi"/>
                <w:sz w:val="20"/>
                <w:szCs w:val="20"/>
              </w:rPr>
            </w:pPr>
            <w:r w:rsidRPr="00E8377F">
              <w:rPr>
                <w:rFonts w:cstheme="minorHAnsi"/>
                <w:color w:val="000000"/>
                <w:sz w:val="20"/>
                <w:szCs w:val="20"/>
              </w:rPr>
              <w:t>Praktizējošo ārstu (bez zobārstiem un rezidentiem) un praktizējošo māsu skaita attiecība</w:t>
            </w:r>
          </w:p>
        </w:tc>
        <w:tc>
          <w:tcPr>
            <w:tcW w:w="1559" w:type="dxa"/>
            <w:vAlign w:val="center"/>
          </w:tcPr>
          <w:p w14:paraId="0DD56C14" w14:textId="6CC039C1" w:rsidR="00700971" w:rsidRPr="00E8377F" w:rsidRDefault="00700971" w:rsidP="00700971">
            <w:pPr>
              <w:jc w:val="center"/>
              <w:rPr>
                <w:rFonts w:cstheme="minorHAnsi"/>
                <w:sz w:val="20"/>
                <w:szCs w:val="20"/>
              </w:rPr>
            </w:pPr>
            <w:r>
              <w:rPr>
                <w:rFonts w:cstheme="minorHAnsi"/>
                <w:sz w:val="20"/>
                <w:szCs w:val="20"/>
              </w:rPr>
              <w:t>40</w:t>
            </w:r>
            <w:r w:rsidRPr="00E8377F">
              <w:rPr>
                <w:rFonts w:cstheme="minorHAnsi"/>
                <w:sz w:val="20"/>
                <w:szCs w:val="20"/>
              </w:rPr>
              <w:t>/112</w:t>
            </w:r>
          </w:p>
        </w:tc>
        <w:tc>
          <w:tcPr>
            <w:tcW w:w="1586" w:type="dxa"/>
            <w:vAlign w:val="center"/>
          </w:tcPr>
          <w:p w14:paraId="490A24BD" w14:textId="77777777" w:rsidR="00700971" w:rsidRPr="00E8377F" w:rsidRDefault="00700971" w:rsidP="00700971">
            <w:pPr>
              <w:jc w:val="center"/>
              <w:rPr>
                <w:rFonts w:cstheme="minorHAnsi"/>
                <w:sz w:val="20"/>
                <w:szCs w:val="20"/>
              </w:rPr>
            </w:pPr>
            <w:r w:rsidRPr="00E8377F">
              <w:rPr>
                <w:rFonts w:cstheme="minorHAnsi"/>
                <w:sz w:val="20"/>
                <w:szCs w:val="20"/>
              </w:rPr>
              <w:t>42/113</w:t>
            </w:r>
          </w:p>
        </w:tc>
        <w:tc>
          <w:tcPr>
            <w:tcW w:w="1249" w:type="dxa"/>
            <w:vAlign w:val="center"/>
          </w:tcPr>
          <w:p w14:paraId="25304752" w14:textId="101116ED" w:rsidR="00700971" w:rsidRPr="00E8377F" w:rsidRDefault="00801C0D" w:rsidP="00700971">
            <w:pPr>
              <w:jc w:val="center"/>
              <w:rPr>
                <w:rFonts w:cstheme="minorHAnsi"/>
                <w:color w:val="FF0000"/>
                <w:sz w:val="20"/>
                <w:szCs w:val="20"/>
              </w:rPr>
            </w:pPr>
            <w:r>
              <w:rPr>
                <w:rFonts w:cstheme="minorHAnsi"/>
                <w:sz w:val="20"/>
                <w:szCs w:val="20"/>
              </w:rPr>
              <w:t>41</w:t>
            </w:r>
            <w:r w:rsidR="00700971" w:rsidRPr="00E8377F">
              <w:rPr>
                <w:rFonts w:cstheme="minorHAnsi"/>
                <w:sz w:val="20"/>
                <w:szCs w:val="20"/>
              </w:rPr>
              <w:t>/11</w:t>
            </w:r>
            <w:r w:rsidR="00661F0C">
              <w:rPr>
                <w:rFonts w:cstheme="minorHAnsi"/>
                <w:sz w:val="20"/>
                <w:szCs w:val="20"/>
              </w:rPr>
              <w:t>2</w:t>
            </w:r>
          </w:p>
        </w:tc>
      </w:tr>
      <w:tr w:rsidR="00700971" w:rsidRPr="00E8377F" w14:paraId="20FCA30D" w14:textId="77777777" w:rsidTr="00F51C13">
        <w:trPr>
          <w:trHeight w:val="901"/>
        </w:trPr>
        <w:tc>
          <w:tcPr>
            <w:tcW w:w="4673" w:type="dxa"/>
            <w:vAlign w:val="center"/>
          </w:tcPr>
          <w:p w14:paraId="11D905DB" w14:textId="77777777" w:rsidR="00700971" w:rsidRPr="00E8377F" w:rsidRDefault="00700971" w:rsidP="00700971">
            <w:pPr>
              <w:rPr>
                <w:rFonts w:cstheme="minorHAnsi"/>
                <w:sz w:val="20"/>
                <w:szCs w:val="20"/>
              </w:rPr>
            </w:pPr>
            <w:r w:rsidRPr="00E8377F">
              <w:rPr>
                <w:rFonts w:cstheme="minorHAnsi"/>
                <w:color w:val="000000"/>
                <w:sz w:val="20"/>
                <w:szCs w:val="20"/>
              </w:rPr>
              <w:t>Iestādē strādājošo ārstniecības personu vecuma grupā 25-40 gadiem īpatsvars no kopējā iestādē strādājošo ārstniecības personu skaita, %</w:t>
            </w:r>
          </w:p>
        </w:tc>
        <w:tc>
          <w:tcPr>
            <w:tcW w:w="1559" w:type="dxa"/>
            <w:vAlign w:val="center"/>
          </w:tcPr>
          <w:p w14:paraId="4D5A01DD" w14:textId="05214067" w:rsidR="00700971" w:rsidRPr="00E8377F" w:rsidRDefault="00700971" w:rsidP="00700971">
            <w:pPr>
              <w:jc w:val="center"/>
              <w:rPr>
                <w:rFonts w:cstheme="minorHAnsi"/>
                <w:sz w:val="20"/>
                <w:szCs w:val="20"/>
              </w:rPr>
            </w:pPr>
            <w:r w:rsidRPr="00E8377F">
              <w:rPr>
                <w:rFonts w:cstheme="minorHAnsi"/>
                <w:sz w:val="20"/>
                <w:szCs w:val="20"/>
              </w:rPr>
              <w:t>2</w:t>
            </w:r>
            <w:r>
              <w:rPr>
                <w:rFonts w:cstheme="minorHAnsi"/>
                <w:sz w:val="20"/>
                <w:szCs w:val="20"/>
              </w:rPr>
              <w:t>4</w:t>
            </w:r>
          </w:p>
        </w:tc>
        <w:tc>
          <w:tcPr>
            <w:tcW w:w="1586" w:type="dxa"/>
            <w:vAlign w:val="center"/>
          </w:tcPr>
          <w:p w14:paraId="33180CB1" w14:textId="4C40B419" w:rsidR="00700971" w:rsidRPr="00E8377F" w:rsidRDefault="00700971" w:rsidP="00700971">
            <w:pPr>
              <w:jc w:val="center"/>
              <w:rPr>
                <w:rFonts w:cstheme="minorHAnsi"/>
                <w:sz w:val="20"/>
                <w:szCs w:val="20"/>
              </w:rPr>
            </w:pPr>
            <w:r w:rsidRPr="00E8377F">
              <w:rPr>
                <w:rFonts w:cstheme="minorHAnsi"/>
                <w:sz w:val="20"/>
                <w:szCs w:val="20"/>
              </w:rPr>
              <w:t>23</w:t>
            </w:r>
          </w:p>
        </w:tc>
        <w:tc>
          <w:tcPr>
            <w:tcW w:w="1249" w:type="dxa"/>
            <w:vAlign w:val="center"/>
          </w:tcPr>
          <w:p w14:paraId="3CABC01D" w14:textId="76B51FBB" w:rsidR="00700971" w:rsidRPr="00E8377F" w:rsidRDefault="00700971" w:rsidP="00700971">
            <w:pPr>
              <w:jc w:val="center"/>
              <w:rPr>
                <w:rFonts w:cstheme="minorHAnsi"/>
                <w:color w:val="FF0000"/>
                <w:sz w:val="20"/>
                <w:szCs w:val="20"/>
              </w:rPr>
            </w:pPr>
            <w:r w:rsidRPr="00E8377F">
              <w:rPr>
                <w:rFonts w:cstheme="minorHAnsi"/>
                <w:sz w:val="20"/>
                <w:szCs w:val="20"/>
              </w:rPr>
              <w:t>2</w:t>
            </w:r>
            <w:r>
              <w:rPr>
                <w:rFonts w:cstheme="minorHAnsi"/>
                <w:sz w:val="20"/>
                <w:szCs w:val="20"/>
              </w:rPr>
              <w:t>6</w:t>
            </w:r>
          </w:p>
        </w:tc>
      </w:tr>
      <w:tr w:rsidR="00700971" w:rsidRPr="00E8377F" w14:paraId="51AB0EED" w14:textId="77777777" w:rsidTr="00F51C13">
        <w:trPr>
          <w:trHeight w:val="469"/>
        </w:trPr>
        <w:tc>
          <w:tcPr>
            <w:tcW w:w="4673" w:type="dxa"/>
            <w:vAlign w:val="center"/>
          </w:tcPr>
          <w:p w14:paraId="1707FAA6" w14:textId="77777777" w:rsidR="00700971" w:rsidRPr="00E8377F" w:rsidRDefault="00700971" w:rsidP="00700971">
            <w:pPr>
              <w:rPr>
                <w:rFonts w:cstheme="minorHAnsi"/>
                <w:sz w:val="20"/>
                <w:szCs w:val="20"/>
              </w:rPr>
            </w:pPr>
            <w:r w:rsidRPr="00E8377F">
              <w:rPr>
                <w:rFonts w:cstheme="minorHAnsi"/>
                <w:color w:val="000000"/>
                <w:sz w:val="20"/>
                <w:szCs w:val="20"/>
              </w:rPr>
              <w:t>Vidējais ārstēšanās ilgums, dienas</w:t>
            </w:r>
          </w:p>
        </w:tc>
        <w:tc>
          <w:tcPr>
            <w:tcW w:w="1559" w:type="dxa"/>
            <w:vAlign w:val="center"/>
          </w:tcPr>
          <w:p w14:paraId="10FD3981" w14:textId="74BA9DC4" w:rsidR="00700971" w:rsidRPr="00E8377F" w:rsidRDefault="00700971" w:rsidP="00700971">
            <w:pPr>
              <w:jc w:val="center"/>
              <w:rPr>
                <w:rFonts w:cstheme="minorHAnsi"/>
                <w:sz w:val="20"/>
                <w:szCs w:val="20"/>
              </w:rPr>
            </w:pPr>
            <w:r>
              <w:rPr>
                <w:rFonts w:cstheme="minorHAnsi"/>
                <w:sz w:val="20"/>
                <w:szCs w:val="20"/>
              </w:rPr>
              <w:t>27</w:t>
            </w:r>
          </w:p>
        </w:tc>
        <w:tc>
          <w:tcPr>
            <w:tcW w:w="1586" w:type="dxa"/>
            <w:vAlign w:val="center"/>
          </w:tcPr>
          <w:p w14:paraId="0B756FF3" w14:textId="417EE319" w:rsidR="00700971" w:rsidRPr="00E8377F" w:rsidRDefault="00291EE3" w:rsidP="00700971">
            <w:pPr>
              <w:jc w:val="center"/>
              <w:rPr>
                <w:rFonts w:cstheme="minorHAnsi"/>
                <w:sz w:val="20"/>
                <w:szCs w:val="20"/>
              </w:rPr>
            </w:pPr>
            <w:r>
              <w:rPr>
                <w:rFonts w:cstheme="minorHAnsi"/>
                <w:sz w:val="20"/>
                <w:szCs w:val="20"/>
              </w:rPr>
              <w:t>27</w:t>
            </w:r>
          </w:p>
        </w:tc>
        <w:tc>
          <w:tcPr>
            <w:tcW w:w="1249" w:type="dxa"/>
            <w:vAlign w:val="center"/>
          </w:tcPr>
          <w:p w14:paraId="33548549" w14:textId="1B9CA4FC" w:rsidR="00700971" w:rsidRPr="00E8377F" w:rsidRDefault="00700971" w:rsidP="00700971">
            <w:pPr>
              <w:jc w:val="center"/>
              <w:rPr>
                <w:rFonts w:cstheme="minorHAnsi"/>
                <w:sz w:val="20"/>
                <w:szCs w:val="20"/>
              </w:rPr>
            </w:pPr>
            <w:r w:rsidRPr="00E8377F">
              <w:rPr>
                <w:rFonts w:cstheme="minorHAnsi"/>
                <w:sz w:val="20"/>
                <w:szCs w:val="20"/>
              </w:rPr>
              <w:t>2</w:t>
            </w:r>
            <w:r>
              <w:rPr>
                <w:rFonts w:cstheme="minorHAnsi"/>
                <w:sz w:val="20"/>
                <w:szCs w:val="20"/>
              </w:rPr>
              <w:t>2</w:t>
            </w:r>
          </w:p>
        </w:tc>
      </w:tr>
      <w:tr w:rsidR="00700971" w:rsidRPr="00E8377F" w14:paraId="6FDA00AD" w14:textId="77777777" w:rsidTr="00F51C13">
        <w:trPr>
          <w:trHeight w:val="220"/>
        </w:trPr>
        <w:tc>
          <w:tcPr>
            <w:tcW w:w="4673" w:type="dxa"/>
            <w:vAlign w:val="center"/>
          </w:tcPr>
          <w:p w14:paraId="2A68865F" w14:textId="77777777" w:rsidR="00700971" w:rsidRPr="00E8377F" w:rsidRDefault="00700971" w:rsidP="00700971">
            <w:pPr>
              <w:rPr>
                <w:rFonts w:cstheme="minorHAnsi"/>
                <w:sz w:val="20"/>
                <w:szCs w:val="20"/>
              </w:rPr>
            </w:pPr>
            <w:r w:rsidRPr="00E8377F">
              <w:rPr>
                <w:rFonts w:cstheme="minorHAnsi"/>
                <w:color w:val="000000"/>
                <w:sz w:val="20"/>
                <w:szCs w:val="20"/>
              </w:rPr>
              <w:t>Gultu noslodze, %</w:t>
            </w:r>
          </w:p>
        </w:tc>
        <w:tc>
          <w:tcPr>
            <w:tcW w:w="1559" w:type="dxa"/>
            <w:vAlign w:val="center"/>
          </w:tcPr>
          <w:p w14:paraId="35D99558" w14:textId="518AE0CD" w:rsidR="00700971" w:rsidRPr="00E8377F" w:rsidRDefault="00700971" w:rsidP="00700971">
            <w:pPr>
              <w:jc w:val="center"/>
              <w:rPr>
                <w:rFonts w:cstheme="minorHAnsi"/>
                <w:sz w:val="20"/>
                <w:szCs w:val="20"/>
              </w:rPr>
            </w:pPr>
            <w:r>
              <w:rPr>
                <w:rFonts w:cstheme="minorHAnsi"/>
                <w:sz w:val="20"/>
                <w:szCs w:val="20"/>
              </w:rPr>
              <w:t>71</w:t>
            </w:r>
          </w:p>
        </w:tc>
        <w:tc>
          <w:tcPr>
            <w:tcW w:w="1586" w:type="dxa"/>
            <w:vAlign w:val="center"/>
          </w:tcPr>
          <w:p w14:paraId="6729856A" w14:textId="22867DA6" w:rsidR="00700971" w:rsidRPr="00E8377F" w:rsidRDefault="00700971" w:rsidP="00700971">
            <w:pPr>
              <w:jc w:val="center"/>
              <w:rPr>
                <w:rFonts w:cstheme="minorHAnsi"/>
                <w:sz w:val="20"/>
                <w:szCs w:val="20"/>
              </w:rPr>
            </w:pPr>
            <w:r w:rsidRPr="00E8377F">
              <w:rPr>
                <w:rFonts w:cstheme="minorHAnsi"/>
                <w:sz w:val="20"/>
                <w:szCs w:val="20"/>
              </w:rPr>
              <w:t>8</w:t>
            </w:r>
            <w:r w:rsidR="00A82BE6">
              <w:rPr>
                <w:rFonts w:cstheme="minorHAnsi"/>
                <w:sz w:val="20"/>
                <w:szCs w:val="20"/>
              </w:rPr>
              <w:t>0</w:t>
            </w:r>
          </w:p>
        </w:tc>
        <w:tc>
          <w:tcPr>
            <w:tcW w:w="1249" w:type="dxa"/>
            <w:vAlign w:val="center"/>
          </w:tcPr>
          <w:p w14:paraId="3EF0112B" w14:textId="37005109" w:rsidR="00700971" w:rsidRPr="00E8377F" w:rsidRDefault="00CF43A2" w:rsidP="00700971">
            <w:pPr>
              <w:jc w:val="center"/>
              <w:rPr>
                <w:rFonts w:cstheme="minorHAnsi"/>
                <w:sz w:val="20"/>
                <w:szCs w:val="20"/>
              </w:rPr>
            </w:pPr>
            <w:r>
              <w:rPr>
                <w:rFonts w:cstheme="minorHAnsi"/>
                <w:sz w:val="20"/>
                <w:szCs w:val="20"/>
              </w:rPr>
              <w:t>73</w:t>
            </w:r>
          </w:p>
        </w:tc>
      </w:tr>
      <w:tr w:rsidR="00700971" w:rsidRPr="00E8377F" w14:paraId="34147CE7" w14:textId="77777777" w:rsidTr="00F51C13">
        <w:trPr>
          <w:trHeight w:val="984"/>
        </w:trPr>
        <w:tc>
          <w:tcPr>
            <w:tcW w:w="4673" w:type="dxa"/>
            <w:vAlign w:val="center"/>
          </w:tcPr>
          <w:p w14:paraId="1958EB2E" w14:textId="77777777" w:rsidR="00700971" w:rsidRPr="00E8377F" w:rsidRDefault="00700971" w:rsidP="00700971">
            <w:pPr>
              <w:rPr>
                <w:rFonts w:cstheme="minorHAnsi"/>
                <w:sz w:val="20"/>
                <w:szCs w:val="20"/>
              </w:rPr>
            </w:pPr>
            <w:r w:rsidRPr="00E8377F">
              <w:rPr>
                <w:rFonts w:cstheme="minorHAnsi"/>
                <w:color w:val="000000"/>
                <w:sz w:val="20"/>
                <w:szCs w:val="20"/>
              </w:rPr>
              <w:t xml:space="preserve">Pacientu ar šizofrēniju, </w:t>
            </w:r>
            <w:proofErr w:type="spellStart"/>
            <w:r w:rsidRPr="00E8377F">
              <w:rPr>
                <w:rFonts w:cstheme="minorHAnsi"/>
                <w:color w:val="000000"/>
                <w:sz w:val="20"/>
                <w:szCs w:val="20"/>
              </w:rPr>
              <w:t>šizotipiskiem</w:t>
            </w:r>
            <w:proofErr w:type="spellEnd"/>
            <w:r w:rsidRPr="00E8377F">
              <w:rPr>
                <w:rFonts w:cstheme="minorHAnsi"/>
                <w:color w:val="000000"/>
                <w:sz w:val="20"/>
                <w:szCs w:val="20"/>
              </w:rPr>
              <w:t xml:space="preserve"> traucējumiem vai murgiem neatliekama atkārtota </w:t>
            </w:r>
            <w:proofErr w:type="spellStart"/>
            <w:r w:rsidRPr="00E8377F">
              <w:rPr>
                <w:rFonts w:cstheme="minorHAnsi"/>
                <w:color w:val="000000"/>
                <w:sz w:val="20"/>
                <w:szCs w:val="20"/>
              </w:rPr>
              <w:t>stacionēšana</w:t>
            </w:r>
            <w:proofErr w:type="spellEnd"/>
            <w:r w:rsidRPr="00E8377F">
              <w:rPr>
                <w:rFonts w:cstheme="minorHAnsi"/>
                <w:color w:val="000000"/>
                <w:sz w:val="20"/>
                <w:szCs w:val="20"/>
              </w:rPr>
              <w:t xml:space="preserve"> 30 dienu laikā tajā pašā stacionārajā ārstniecības iestādē,%</w:t>
            </w:r>
          </w:p>
        </w:tc>
        <w:tc>
          <w:tcPr>
            <w:tcW w:w="1559" w:type="dxa"/>
            <w:vAlign w:val="center"/>
          </w:tcPr>
          <w:p w14:paraId="3F370472" w14:textId="22AEAE72" w:rsidR="00700971" w:rsidRPr="00E8377F" w:rsidRDefault="00700971" w:rsidP="00700971">
            <w:pPr>
              <w:jc w:val="center"/>
              <w:rPr>
                <w:rFonts w:cstheme="minorHAnsi"/>
                <w:sz w:val="20"/>
                <w:szCs w:val="20"/>
              </w:rPr>
            </w:pPr>
            <w:r>
              <w:rPr>
                <w:rFonts w:cstheme="minorHAnsi"/>
                <w:sz w:val="20"/>
                <w:szCs w:val="20"/>
              </w:rPr>
              <w:t>16</w:t>
            </w:r>
            <w:r w:rsidRPr="00E8377F">
              <w:rPr>
                <w:rFonts w:cstheme="minorHAnsi"/>
                <w:sz w:val="20"/>
                <w:szCs w:val="20"/>
              </w:rPr>
              <w:t>/</w:t>
            </w:r>
            <w:r>
              <w:rPr>
                <w:rFonts w:cstheme="minorHAnsi"/>
                <w:sz w:val="20"/>
                <w:szCs w:val="20"/>
              </w:rPr>
              <w:t>7</w:t>
            </w:r>
            <w:r w:rsidRPr="00E8377F">
              <w:rPr>
                <w:rFonts w:cstheme="minorHAnsi"/>
                <w:sz w:val="20"/>
                <w:szCs w:val="20"/>
              </w:rPr>
              <w:t>%</w:t>
            </w:r>
          </w:p>
        </w:tc>
        <w:tc>
          <w:tcPr>
            <w:tcW w:w="1586" w:type="dxa"/>
            <w:vAlign w:val="center"/>
          </w:tcPr>
          <w:p w14:paraId="3C81AD8E" w14:textId="3071DDD2" w:rsidR="00700971" w:rsidRPr="00E8377F" w:rsidRDefault="00700971" w:rsidP="00700971">
            <w:pPr>
              <w:jc w:val="center"/>
              <w:rPr>
                <w:rFonts w:cstheme="minorHAnsi"/>
                <w:sz w:val="20"/>
                <w:szCs w:val="20"/>
              </w:rPr>
            </w:pPr>
            <w:r w:rsidRPr="00E8377F">
              <w:rPr>
                <w:rFonts w:cstheme="minorHAnsi"/>
                <w:sz w:val="20"/>
                <w:szCs w:val="20"/>
              </w:rPr>
              <w:t>112/15%</w:t>
            </w:r>
            <w:r>
              <w:rPr>
                <w:rFonts w:cstheme="minorHAnsi"/>
                <w:sz w:val="20"/>
                <w:szCs w:val="20"/>
              </w:rPr>
              <w:t xml:space="preserve"> (gada rādītājs)</w:t>
            </w:r>
          </w:p>
        </w:tc>
        <w:tc>
          <w:tcPr>
            <w:tcW w:w="1249" w:type="dxa"/>
            <w:vAlign w:val="center"/>
          </w:tcPr>
          <w:p w14:paraId="55EC0391" w14:textId="3367DE31" w:rsidR="00700971" w:rsidRPr="00E8377F" w:rsidRDefault="00D369CD" w:rsidP="00700971">
            <w:pPr>
              <w:jc w:val="center"/>
              <w:rPr>
                <w:rFonts w:cstheme="minorHAnsi"/>
                <w:sz w:val="20"/>
                <w:szCs w:val="20"/>
              </w:rPr>
            </w:pPr>
            <w:r>
              <w:rPr>
                <w:rFonts w:cstheme="minorHAnsi"/>
                <w:sz w:val="20"/>
                <w:szCs w:val="20"/>
              </w:rPr>
              <w:t>32</w:t>
            </w:r>
            <w:r w:rsidR="00700971" w:rsidRPr="00E8377F">
              <w:rPr>
                <w:rFonts w:cstheme="minorHAnsi"/>
                <w:sz w:val="20"/>
                <w:szCs w:val="20"/>
              </w:rPr>
              <w:t>/</w:t>
            </w:r>
            <w:r w:rsidR="00DB1E54">
              <w:rPr>
                <w:rFonts w:cstheme="minorHAnsi"/>
                <w:sz w:val="20"/>
                <w:szCs w:val="20"/>
              </w:rPr>
              <w:t>12</w:t>
            </w:r>
            <w:r w:rsidR="00700971" w:rsidRPr="00E8377F">
              <w:rPr>
                <w:rFonts w:cstheme="minorHAnsi"/>
                <w:sz w:val="20"/>
                <w:szCs w:val="20"/>
              </w:rPr>
              <w:t>%</w:t>
            </w:r>
          </w:p>
        </w:tc>
      </w:tr>
      <w:tr w:rsidR="00700971" w:rsidRPr="00E8377F" w14:paraId="63E91951" w14:textId="77777777" w:rsidTr="00F51C13">
        <w:trPr>
          <w:trHeight w:val="1185"/>
        </w:trPr>
        <w:tc>
          <w:tcPr>
            <w:tcW w:w="4673" w:type="dxa"/>
          </w:tcPr>
          <w:p w14:paraId="11086DF5" w14:textId="77777777" w:rsidR="00700971" w:rsidRPr="00E8377F" w:rsidRDefault="00700971" w:rsidP="00700971">
            <w:pPr>
              <w:rPr>
                <w:rFonts w:cstheme="minorHAnsi"/>
                <w:sz w:val="20"/>
                <w:szCs w:val="20"/>
              </w:rPr>
            </w:pPr>
            <w:r w:rsidRPr="00E8377F">
              <w:rPr>
                <w:rFonts w:cstheme="minorHAnsi"/>
                <w:color w:val="000000"/>
                <w:sz w:val="20"/>
                <w:szCs w:val="20"/>
              </w:rPr>
              <w:t>Uz mājām izrakstīto pacientu, kuri atkārtoti hospitalizēti tajā pašā vai nākamajā dienā (neieskaitot pacientus, kuriem nākamā hospitalizācija ir aprūpe vai rehabilitācija), skaits un īpatsvars, %</w:t>
            </w:r>
          </w:p>
        </w:tc>
        <w:tc>
          <w:tcPr>
            <w:tcW w:w="1559" w:type="dxa"/>
            <w:vAlign w:val="center"/>
          </w:tcPr>
          <w:p w14:paraId="4B236D58" w14:textId="6940E977" w:rsidR="00700971" w:rsidRPr="00E8377F" w:rsidRDefault="00700971" w:rsidP="00700971">
            <w:pPr>
              <w:jc w:val="center"/>
              <w:rPr>
                <w:rFonts w:cstheme="minorHAnsi"/>
                <w:sz w:val="20"/>
                <w:szCs w:val="20"/>
              </w:rPr>
            </w:pPr>
            <w:r w:rsidRPr="00E8377F">
              <w:rPr>
                <w:rFonts w:cstheme="minorHAnsi"/>
                <w:sz w:val="20"/>
                <w:szCs w:val="20"/>
              </w:rPr>
              <w:t>1</w:t>
            </w:r>
            <w:r>
              <w:rPr>
                <w:rFonts w:cstheme="minorHAnsi"/>
                <w:sz w:val="20"/>
                <w:szCs w:val="20"/>
              </w:rPr>
              <w:t>2</w:t>
            </w:r>
            <w:r w:rsidRPr="00E8377F">
              <w:rPr>
                <w:rFonts w:cstheme="minorHAnsi"/>
                <w:sz w:val="20"/>
                <w:szCs w:val="20"/>
              </w:rPr>
              <w:t>/</w:t>
            </w:r>
            <w:r>
              <w:rPr>
                <w:rFonts w:cstheme="minorHAnsi"/>
                <w:sz w:val="20"/>
                <w:szCs w:val="20"/>
              </w:rPr>
              <w:t>0.8</w:t>
            </w:r>
            <w:r w:rsidRPr="00E8377F">
              <w:rPr>
                <w:rFonts w:cstheme="minorHAnsi"/>
                <w:sz w:val="20"/>
                <w:szCs w:val="20"/>
              </w:rPr>
              <w:t>%</w:t>
            </w:r>
          </w:p>
        </w:tc>
        <w:tc>
          <w:tcPr>
            <w:tcW w:w="1586" w:type="dxa"/>
            <w:vAlign w:val="center"/>
          </w:tcPr>
          <w:p w14:paraId="3C7DDC03" w14:textId="5ED364B7" w:rsidR="00700971" w:rsidRPr="00E8377F" w:rsidRDefault="00700971" w:rsidP="00700971">
            <w:pPr>
              <w:jc w:val="center"/>
              <w:rPr>
                <w:rFonts w:cstheme="minorHAnsi"/>
                <w:sz w:val="20"/>
                <w:szCs w:val="20"/>
              </w:rPr>
            </w:pPr>
            <w:r w:rsidRPr="00E8377F">
              <w:rPr>
                <w:rFonts w:cstheme="minorHAnsi"/>
                <w:sz w:val="20"/>
                <w:szCs w:val="20"/>
              </w:rPr>
              <w:t>28/1%</w:t>
            </w:r>
            <w:r>
              <w:rPr>
                <w:rFonts w:cstheme="minorHAnsi"/>
                <w:sz w:val="20"/>
                <w:szCs w:val="20"/>
              </w:rPr>
              <w:t xml:space="preserve"> (gada rādītājs)</w:t>
            </w:r>
          </w:p>
        </w:tc>
        <w:tc>
          <w:tcPr>
            <w:tcW w:w="1249" w:type="dxa"/>
            <w:vAlign w:val="center"/>
          </w:tcPr>
          <w:p w14:paraId="436E3362" w14:textId="3B8E73E9" w:rsidR="00700971" w:rsidRPr="00E8377F" w:rsidRDefault="00700971" w:rsidP="00700971">
            <w:pPr>
              <w:jc w:val="center"/>
              <w:rPr>
                <w:rFonts w:cstheme="minorHAnsi"/>
                <w:sz w:val="20"/>
                <w:szCs w:val="20"/>
              </w:rPr>
            </w:pPr>
            <w:r w:rsidRPr="00E8377F">
              <w:rPr>
                <w:rFonts w:cstheme="minorHAnsi"/>
                <w:sz w:val="20"/>
                <w:szCs w:val="20"/>
              </w:rPr>
              <w:t>1</w:t>
            </w:r>
            <w:r w:rsidR="00DB1E54">
              <w:rPr>
                <w:rFonts w:cstheme="minorHAnsi"/>
                <w:sz w:val="20"/>
                <w:szCs w:val="20"/>
              </w:rPr>
              <w:t>3</w:t>
            </w:r>
            <w:r w:rsidRPr="00E8377F">
              <w:rPr>
                <w:rFonts w:cstheme="minorHAnsi"/>
                <w:sz w:val="20"/>
                <w:szCs w:val="20"/>
              </w:rPr>
              <w:t>/</w:t>
            </w:r>
            <w:r w:rsidR="0079181E">
              <w:rPr>
                <w:rFonts w:cstheme="minorHAnsi"/>
                <w:sz w:val="20"/>
                <w:szCs w:val="20"/>
              </w:rPr>
              <w:t>0.79</w:t>
            </w:r>
            <w:r w:rsidRPr="00E8377F">
              <w:rPr>
                <w:rFonts w:cstheme="minorHAnsi"/>
                <w:sz w:val="20"/>
                <w:szCs w:val="20"/>
              </w:rPr>
              <w:t>%</w:t>
            </w:r>
          </w:p>
        </w:tc>
      </w:tr>
      <w:tr w:rsidR="00700971" w:rsidRPr="00E8377F" w14:paraId="03066FF3" w14:textId="77777777" w:rsidTr="00F51C13">
        <w:trPr>
          <w:trHeight w:val="220"/>
        </w:trPr>
        <w:tc>
          <w:tcPr>
            <w:tcW w:w="4673" w:type="dxa"/>
          </w:tcPr>
          <w:p w14:paraId="007D2992" w14:textId="77777777" w:rsidR="00700971" w:rsidRPr="00E8377F" w:rsidRDefault="00700971" w:rsidP="00700971">
            <w:pPr>
              <w:rPr>
                <w:rFonts w:cstheme="minorHAnsi"/>
                <w:sz w:val="20"/>
                <w:szCs w:val="20"/>
              </w:rPr>
            </w:pPr>
            <w:proofErr w:type="spellStart"/>
            <w:r w:rsidRPr="00E8377F">
              <w:rPr>
                <w:rFonts w:cstheme="minorHAnsi"/>
                <w:color w:val="000000"/>
                <w:sz w:val="20"/>
                <w:szCs w:val="20"/>
              </w:rPr>
              <w:t>Letalitāte</w:t>
            </w:r>
            <w:proofErr w:type="spellEnd"/>
            <w:r w:rsidRPr="00E8377F">
              <w:rPr>
                <w:rFonts w:cstheme="minorHAnsi"/>
                <w:color w:val="000000"/>
                <w:sz w:val="20"/>
                <w:szCs w:val="20"/>
              </w:rPr>
              <w:t xml:space="preserve"> stacionārā, %</w:t>
            </w:r>
          </w:p>
        </w:tc>
        <w:tc>
          <w:tcPr>
            <w:tcW w:w="1559" w:type="dxa"/>
            <w:vAlign w:val="center"/>
          </w:tcPr>
          <w:p w14:paraId="35110959" w14:textId="6DB47F79" w:rsidR="00700971" w:rsidRPr="00E8377F" w:rsidRDefault="00700971" w:rsidP="00700971">
            <w:pPr>
              <w:jc w:val="center"/>
              <w:rPr>
                <w:rFonts w:cstheme="minorHAnsi"/>
                <w:sz w:val="20"/>
                <w:szCs w:val="20"/>
              </w:rPr>
            </w:pPr>
            <w:r>
              <w:rPr>
                <w:rFonts w:cstheme="minorHAnsi"/>
                <w:sz w:val="20"/>
                <w:szCs w:val="20"/>
              </w:rPr>
              <w:t>1.1</w:t>
            </w:r>
          </w:p>
        </w:tc>
        <w:tc>
          <w:tcPr>
            <w:tcW w:w="1586" w:type="dxa"/>
            <w:vAlign w:val="center"/>
          </w:tcPr>
          <w:p w14:paraId="7ACABC42" w14:textId="77777777" w:rsidR="00700971" w:rsidRPr="00E8377F" w:rsidRDefault="00700971" w:rsidP="00700971">
            <w:pPr>
              <w:jc w:val="center"/>
              <w:rPr>
                <w:rFonts w:cstheme="minorHAnsi"/>
                <w:sz w:val="20"/>
                <w:szCs w:val="20"/>
              </w:rPr>
            </w:pPr>
            <w:r w:rsidRPr="00E8377F">
              <w:rPr>
                <w:rFonts w:cstheme="minorHAnsi"/>
                <w:sz w:val="20"/>
                <w:szCs w:val="20"/>
              </w:rPr>
              <w:t>0.90</w:t>
            </w:r>
          </w:p>
        </w:tc>
        <w:tc>
          <w:tcPr>
            <w:tcW w:w="1249" w:type="dxa"/>
            <w:vAlign w:val="center"/>
          </w:tcPr>
          <w:p w14:paraId="4EA53174" w14:textId="60355049" w:rsidR="00700971" w:rsidRPr="00E8377F" w:rsidRDefault="00E670B1" w:rsidP="00700971">
            <w:pPr>
              <w:jc w:val="center"/>
              <w:rPr>
                <w:rFonts w:cstheme="minorHAnsi"/>
                <w:color w:val="FF0000"/>
                <w:sz w:val="20"/>
                <w:szCs w:val="20"/>
              </w:rPr>
            </w:pPr>
            <w:r>
              <w:rPr>
                <w:rFonts w:cstheme="minorHAnsi"/>
                <w:sz w:val="20"/>
                <w:szCs w:val="20"/>
              </w:rPr>
              <w:t>0.67</w:t>
            </w:r>
          </w:p>
        </w:tc>
      </w:tr>
    </w:tbl>
    <w:p w14:paraId="2EC22818" w14:textId="77777777" w:rsidR="00433243" w:rsidRDefault="00433243" w:rsidP="008D79D0">
      <w:pPr>
        <w:spacing w:after="0"/>
        <w:rPr>
          <w:rFonts w:cstheme="minorHAnsi"/>
          <w:b/>
          <w:bCs/>
        </w:rPr>
      </w:pPr>
    </w:p>
    <w:p w14:paraId="7D0DDF77" w14:textId="6B04B5DF" w:rsidR="008D79D0" w:rsidRPr="003D07A2" w:rsidRDefault="008D79D0" w:rsidP="008D79D0">
      <w:pPr>
        <w:spacing w:after="0"/>
        <w:rPr>
          <w:rFonts w:cstheme="minorHAnsi"/>
          <w:b/>
          <w:bCs/>
        </w:rPr>
      </w:pPr>
      <w:r w:rsidRPr="003D07A2">
        <w:rPr>
          <w:rFonts w:cstheme="minorHAnsi"/>
          <w:b/>
          <w:bCs/>
        </w:rPr>
        <w:t>Personāls</w:t>
      </w:r>
    </w:p>
    <w:p w14:paraId="1842D211" w14:textId="36845039" w:rsidR="000A70AD" w:rsidRPr="003D07A2" w:rsidRDefault="00E56624" w:rsidP="00712DD6">
      <w:pPr>
        <w:spacing w:before="100" w:beforeAutospacing="1" w:after="100" w:afterAutospacing="1"/>
        <w:jc w:val="both"/>
        <w:rPr>
          <w:rFonts w:cstheme="minorHAnsi"/>
        </w:rPr>
      </w:pPr>
      <w:r w:rsidRPr="003D07A2">
        <w:rPr>
          <w:rFonts w:cstheme="minorHAnsi"/>
        </w:rPr>
        <w:t xml:space="preserve">Sabiedrībā pārskata periodā vidēji nodarbināti </w:t>
      </w:r>
      <w:r w:rsidR="00B068D0">
        <w:rPr>
          <w:rFonts w:cstheme="minorHAnsi"/>
        </w:rPr>
        <w:t>52</w:t>
      </w:r>
      <w:r w:rsidR="008D18CE">
        <w:rPr>
          <w:rFonts w:cstheme="minorHAnsi"/>
        </w:rPr>
        <w:t>0</w:t>
      </w:r>
      <w:r w:rsidR="00EE2123">
        <w:rPr>
          <w:rFonts w:cstheme="minorHAnsi"/>
        </w:rPr>
        <w:t xml:space="preserve"> </w:t>
      </w:r>
      <w:r w:rsidRPr="003D07A2">
        <w:rPr>
          <w:rFonts w:cstheme="minorHAnsi"/>
        </w:rPr>
        <w:t xml:space="preserve"> darbinieki, kas ir par </w:t>
      </w:r>
      <w:r w:rsidR="00EE2123">
        <w:rPr>
          <w:rFonts w:cstheme="minorHAnsi"/>
        </w:rPr>
        <w:t>40</w:t>
      </w:r>
      <w:r w:rsidRPr="003D07A2">
        <w:rPr>
          <w:rFonts w:cstheme="minorHAnsi"/>
        </w:rPr>
        <w:t xml:space="preserve"> darbinieku </w:t>
      </w:r>
      <w:r w:rsidR="00EE2123">
        <w:rPr>
          <w:rFonts w:cstheme="minorHAnsi"/>
        </w:rPr>
        <w:t>mazāk</w:t>
      </w:r>
      <w:r w:rsidRPr="003D07A2">
        <w:rPr>
          <w:rFonts w:cstheme="minorHAnsi"/>
        </w:rPr>
        <w:t xml:space="preserve"> kā 20</w:t>
      </w:r>
      <w:r w:rsidR="00215612">
        <w:rPr>
          <w:rFonts w:cstheme="minorHAnsi"/>
        </w:rPr>
        <w:t>2</w:t>
      </w:r>
      <w:r w:rsidR="00EE2123">
        <w:rPr>
          <w:rFonts w:cstheme="minorHAnsi"/>
        </w:rPr>
        <w:t>1</w:t>
      </w:r>
      <w:r w:rsidRPr="003D07A2">
        <w:rPr>
          <w:rFonts w:cstheme="minorHAnsi"/>
        </w:rPr>
        <w:t>.gada salīdzināmajā periodā</w:t>
      </w:r>
      <w:r w:rsidR="004A4E51" w:rsidRPr="003D07A2">
        <w:rPr>
          <w:rFonts w:cstheme="minorHAnsi"/>
        </w:rPr>
        <w:t>.</w:t>
      </w:r>
      <w:r w:rsidRPr="003D07A2">
        <w:rPr>
          <w:rFonts w:cstheme="minorHAnsi"/>
        </w:rPr>
        <w:t xml:space="preserve"> Nodarbināto skaits </w:t>
      </w:r>
      <w:r w:rsidR="00313B92">
        <w:rPr>
          <w:rFonts w:cstheme="minorHAnsi"/>
        </w:rPr>
        <w:t>samazināj</w:t>
      </w:r>
      <w:r w:rsidR="00634040">
        <w:rPr>
          <w:rFonts w:cstheme="minorHAnsi"/>
        </w:rPr>
        <w:t>ums veidojas</w:t>
      </w:r>
      <w:r w:rsidR="00313B92">
        <w:rPr>
          <w:rFonts w:cstheme="minorHAnsi"/>
        </w:rPr>
        <w:t xml:space="preserve"> gan </w:t>
      </w:r>
      <w:r w:rsidR="00D8730F">
        <w:rPr>
          <w:rFonts w:cstheme="minorHAnsi"/>
        </w:rPr>
        <w:t xml:space="preserve">no </w:t>
      </w:r>
      <w:r w:rsidR="00313B92">
        <w:rPr>
          <w:rFonts w:cstheme="minorHAnsi"/>
        </w:rPr>
        <w:t>bērnu sociālās rehabilitācijas nodaļas slēgšana</w:t>
      </w:r>
      <w:r w:rsidR="00634040">
        <w:rPr>
          <w:rFonts w:cstheme="minorHAnsi"/>
        </w:rPr>
        <w:t xml:space="preserve">s, gan </w:t>
      </w:r>
      <w:r w:rsidR="00D8730F">
        <w:rPr>
          <w:rFonts w:cstheme="minorHAnsi"/>
        </w:rPr>
        <w:t xml:space="preserve">no </w:t>
      </w:r>
      <w:r w:rsidR="00634040">
        <w:rPr>
          <w:rFonts w:cstheme="minorHAnsi"/>
        </w:rPr>
        <w:t>mērķtiecīga</w:t>
      </w:r>
      <w:r w:rsidR="00D8730F">
        <w:rPr>
          <w:rFonts w:cstheme="minorHAnsi"/>
        </w:rPr>
        <w:t>s</w:t>
      </w:r>
      <w:r w:rsidR="00634040">
        <w:rPr>
          <w:rFonts w:cstheme="minorHAnsi"/>
        </w:rPr>
        <w:t xml:space="preserve"> </w:t>
      </w:r>
      <w:r w:rsidR="00DB14C7">
        <w:rPr>
          <w:rFonts w:cstheme="minorHAnsi"/>
        </w:rPr>
        <w:t xml:space="preserve">sanitāru </w:t>
      </w:r>
      <w:r w:rsidR="00802D06">
        <w:rPr>
          <w:rFonts w:cstheme="minorHAnsi"/>
        </w:rPr>
        <w:t>slodžu</w:t>
      </w:r>
      <w:r w:rsidR="00DB14C7">
        <w:rPr>
          <w:rFonts w:cstheme="minorHAnsi"/>
        </w:rPr>
        <w:t xml:space="preserve"> </w:t>
      </w:r>
      <w:r w:rsidR="00D8730F">
        <w:rPr>
          <w:rFonts w:cstheme="minorHAnsi"/>
        </w:rPr>
        <w:t>optimizēšanas rezultā</w:t>
      </w:r>
      <w:r w:rsidR="00FE005A">
        <w:rPr>
          <w:rFonts w:cstheme="minorHAnsi"/>
        </w:rPr>
        <w:t>ta, kas ir paredzēts 2022.gada budžetā.</w:t>
      </w:r>
    </w:p>
    <w:p w14:paraId="56819723" w14:textId="749B782C" w:rsidR="00E56624" w:rsidRPr="003D07A2" w:rsidRDefault="00E56624" w:rsidP="00712DD6">
      <w:pPr>
        <w:spacing w:before="100" w:beforeAutospacing="1" w:after="100" w:afterAutospacing="1"/>
        <w:jc w:val="both"/>
        <w:rPr>
          <w:rFonts w:cstheme="minorHAnsi"/>
        </w:rPr>
      </w:pPr>
      <w:r w:rsidRPr="003D07A2">
        <w:rPr>
          <w:rFonts w:cstheme="minorHAnsi"/>
        </w:rPr>
        <w:t xml:space="preserve">Sabiedrībā finansētas vidēji </w:t>
      </w:r>
      <w:r w:rsidR="00215612">
        <w:rPr>
          <w:rFonts w:cstheme="minorHAnsi"/>
        </w:rPr>
        <w:t>5</w:t>
      </w:r>
      <w:r w:rsidR="001E07AC">
        <w:rPr>
          <w:rFonts w:cstheme="minorHAnsi"/>
        </w:rPr>
        <w:t>0</w:t>
      </w:r>
      <w:r w:rsidRPr="003D07A2">
        <w:rPr>
          <w:rFonts w:cstheme="minorHAnsi"/>
        </w:rPr>
        <w:t xml:space="preserve"> ārstu, </w:t>
      </w:r>
      <w:r w:rsidR="004236A1" w:rsidRPr="003D07A2">
        <w:rPr>
          <w:rFonts w:cstheme="minorHAnsi"/>
        </w:rPr>
        <w:t>tai skaitā 1</w:t>
      </w:r>
      <w:r w:rsidR="001E07AC">
        <w:rPr>
          <w:rFonts w:cstheme="minorHAnsi"/>
        </w:rPr>
        <w:t>3</w:t>
      </w:r>
      <w:r w:rsidR="007B5DB1" w:rsidRPr="003D07A2">
        <w:rPr>
          <w:rFonts w:cstheme="minorHAnsi"/>
        </w:rPr>
        <w:t>.</w:t>
      </w:r>
      <w:r w:rsidR="006F4D5B">
        <w:rPr>
          <w:rFonts w:cstheme="minorHAnsi"/>
        </w:rPr>
        <w:t>2</w:t>
      </w:r>
      <w:r w:rsidR="004236A1" w:rsidRPr="003D07A2">
        <w:rPr>
          <w:rFonts w:cstheme="minorHAnsi"/>
        </w:rPr>
        <w:t xml:space="preserve"> </w:t>
      </w:r>
      <w:r w:rsidRPr="003D07A2">
        <w:rPr>
          <w:rFonts w:cstheme="minorHAnsi"/>
        </w:rPr>
        <w:t xml:space="preserve">funkcionālo speciālistu slodzes; </w:t>
      </w:r>
      <w:r w:rsidR="00BA1E07" w:rsidRPr="003D07A2">
        <w:rPr>
          <w:rFonts w:cstheme="minorHAnsi"/>
        </w:rPr>
        <w:t>9</w:t>
      </w:r>
      <w:r w:rsidR="00B56432">
        <w:rPr>
          <w:rFonts w:cstheme="minorHAnsi"/>
        </w:rPr>
        <w:t>5</w:t>
      </w:r>
      <w:r w:rsidR="00BA1E07" w:rsidRPr="003D07A2">
        <w:rPr>
          <w:rFonts w:cstheme="minorHAnsi"/>
        </w:rPr>
        <w:t xml:space="preserve"> māsu slodzes; </w:t>
      </w:r>
      <w:r w:rsidR="00B56432">
        <w:rPr>
          <w:rFonts w:cstheme="minorHAnsi"/>
        </w:rPr>
        <w:t>8</w:t>
      </w:r>
      <w:r w:rsidR="0060030B">
        <w:rPr>
          <w:rFonts w:cstheme="minorHAnsi"/>
        </w:rPr>
        <w:t>5</w:t>
      </w:r>
      <w:r w:rsidR="00BA1E07" w:rsidRPr="003D07A2">
        <w:rPr>
          <w:rFonts w:cstheme="minorHAnsi"/>
        </w:rPr>
        <w:t xml:space="preserve"> māsu palīgu slodzes; 1</w:t>
      </w:r>
      <w:r w:rsidR="0060030B">
        <w:rPr>
          <w:rFonts w:cstheme="minorHAnsi"/>
        </w:rPr>
        <w:t>7</w:t>
      </w:r>
      <w:r w:rsidR="00BA1E07" w:rsidRPr="003D07A2">
        <w:rPr>
          <w:rFonts w:cstheme="minorHAnsi"/>
        </w:rPr>
        <w:t xml:space="preserve"> administratīvā personāla slodzes; 2</w:t>
      </w:r>
      <w:r w:rsidR="00B56432">
        <w:rPr>
          <w:rFonts w:cstheme="minorHAnsi"/>
        </w:rPr>
        <w:t>21</w:t>
      </w:r>
      <w:r w:rsidR="00BA1E07" w:rsidRPr="003D07A2">
        <w:rPr>
          <w:rFonts w:cstheme="minorHAnsi"/>
        </w:rPr>
        <w:t xml:space="preserve"> pārējo darbinieku slodzes. Salīdzinoši ar 20</w:t>
      </w:r>
      <w:r w:rsidR="00937CAF">
        <w:rPr>
          <w:rFonts w:cstheme="minorHAnsi"/>
        </w:rPr>
        <w:t>2</w:t>
      </w:r>
      <w:r w:rsidR="00802D06">
        <w:rPr>
          <w:rFonts w:cstheme="minorHAnsi"/>
        </w:rPr>
        <w:t>1</w:t>
      </w:r>
      <w:r w:rsidR="00BA1E07" w:rsidRPr="003D07A2">
        <w:rPr>
          <w:rFonts w:cstheme="minorHAnsi"/>
        </w:rPr>
        <w:t xml:space="preserve">. gadu – </w:t>
      </w:r>
      <w:r w:rsidR="004206FA">
        <w:rPr>
          <w:rFonts w:cstheme="minorHAnsi"/>
        </w:rPr>
        <w:t>mazāk</w:t>
      </w:r>
      <w:r w:rsidR="00BA1E07" w:rsidRPr="003D07A2">
        <w:rPr>
          <w:rFonts w:cstheme="minorHAnsi"/>
        </w:rPr>
        <w:t xml:space="preserve"> par </w:t>
      </w:r>
      <w:r w:rsidR="004206FA">
        <w:rPr>
          <w:rFonts w:cstheme="minorHAnsi"/>
        </w:rPr>
        <w:t>3</w:t>
      </w:r>
      <w:r w:rsidR="001D137C">
        <w:rPr>
          <w:rFonts w:cstheme="minorHAnsi"/>
        </w:rPr>
        <w:t>7</w:t>
      </w:r>
      <w:r w:rsidR="00BA1E07" w:rsidRPr="003D07A2">
        <w:rPr>
          <w:rFonts w:cstheme="minorHAnsi"/>
        </w:rPr>
        <w:t xml:space="preserve"> slodzēm, bet attiecīgi pret plānoto – mazāk par </w:t>
      </w:r>
      <w:r w:rsidR="004206FA">
        <w:rPr>
          <w:rFonts w:cstheme="minorHAnsi"/>
        </w:rPr>
        <w:t>1</w:t>
      </w:r>
      <w:r w:rsidR="001D137C">
        <w:rPr>
          <w:rFonts w:cstheme="minorHAnsi"/>
        </w:rPr>
        <w:t>5</w:t>
      </w:r>
      <w:r w:rsidR="00BA1E07" w:rsidRPr="003D07A2">
        <w:rPr>
          <w:rFonts w:cstheme="minorHAnsi"/>
        </w:rPr>
        <w:t xml:space="preserve"> slodzēm.</w:t>
      </w:r>
    </w:p>
    <w:p w14:paraId="44900610" w14:textId="73925771" w:rsidR="00BA1E07" w:rsidRPr="003D07A2" w:rsidRDefault="00BA1E07" w:rsidP="00712DD6">
      <w:pPr>
        <w:spacing w:before="100" w:beforeAutospacing="1" w:after="100" w:afterAutospacing="1"/>
        <w:jc w:val="both"/>
        <w:rPr>
          <w:rFonts w:cstheme="minorHAnsi"/>
        </w:rPr>
      </w:pPr>
      <w:r w:rsidRPr="003D07A2">
        <w:rPr>
          <w:rFonts w:cstheme="minorHAnsi"/>
        </w:rPr>
        <w:t xml:space="preserve">Darbinieku mainība pārskata periodā ir </w:t>
      </w:r>
      <w:r w:rsidR="006A010D">
        <w:rPr>
          <w:rFonts w:cstheme="minorHAnsi"/>
        </w:rPr>
        <w:t>9</w:t>
      </w:r>
      <w:r w:rsidRPr="003D07A2">
        <w:rPr>
          <w:rFonts w:cstheme="minorHAnsi"/>
        </w:rPr>
        <w:t xml:space="preserve">%, kas ir par </w:t>
      </w:r>
      <w:r w:rsidR="006A010D">
        <w:rPr>
          <w:rFonts w:cstheme="minorHAnsi"/>
        </w:rPr>
        <w:t>5</w:t>
      </w:r>
      <w:r w:rsidRPr="003D07A2">
        <w:rPr>
          <w:rFonts w:cstheme="minorHAnsi"/>
        </w:rPr>
        <w:t xml:space="preserve">% </w:t>
      </w:r>
      <w:r w:rsidR="00E9187E">
        <w:rPr>
          <w:rFonts w:cstheme="minorHAnsi"/>
        </w:rPr>
        <w:t>mazāk</w:t>
      </w:r>
      <w:r w:rsidRPr="003D07A2">
        <w:rPr>
          <w:rFonts w:cstheme="minorHAnsi"/>
        </w:rPr>
        <w:t xml:space="preserve"> kā 20</w:t>
      </w:r>
      <w:r w:rsidR="00937CAF">
        <w:rPr>
          <w:rFonts w:cstheme="minorHAnsi"/>
        </w:rPr>
        <w:t>2</w:t>
      </w:r>
      <w:r w:rsidR="00E9187E">
        <w:rPr>
          <w:rFonts w:cstheme="minorHAnsi"/>
        </w:rPr>
        <w:t>1</w:t>
      </w:r>
      <w:r w:rsidRPr="003D07A2">
        <w:rPr>
          <w:rFonts w:cstheme="minorHAnsi"/>
        </w:rPr>
        <w:t>. gadā.</w:t>
      </w:r>
    </w:p>
    <w:p w14:paraId="64456050" w14:textId="123FAD1B" w:rsidR="00BA1E07" w:rsidRPr="003D07A2" w:rsidRDefault="00BA1E07" w:rsidP="00712DD6">
      <w:pPr>
        <w:spacing w:before="100" w:beforeAutospacing="1" w:after="100" w:afterAutospacing="1"/>
        <w:jc w:val="both"/>
        <w:rPr>
          <w:rFonts w:cstheme="minorHAnsi"/>
        </w:rPr>
      </w:pPr>
      <w:r w:rsidRPr="003D07A2">
        <w:rPr>
          <w:rFonts w:cstheme="minorHAnsi"/>
        </w:rPr>
        <w:t>Pārskata periodā Sabiedrība nodrošināja vidējo darba samaksu 1</w:t>
      </w:r>
      <w:r w:rsidR="0086182B">
        <w:rPr>
          <w:rFonts w:cstheme="minorHAnsi"/>
        </w:rPr>
        <w:t>366</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apmērā, kas ir par </w:t>
      </w:r>
      <w:r w:rsidR="00DF66EB">
        <w:rPr>
          <w:rFonts w:cstheme="minorHAnsi"/>
        </w:rPr>
        <w:t>3</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vairāk kā 20</w:t>
      </w:r>
      <w:r w:rsidR="00937CAF">
        <w:rPr>
          <w:rFonts w:cstheme="minorHAnsi"/>
        </w:rPr>
        <w:t>2</w:t>
      </w:r>
      <w:r w:rsidR="00DF66EB">
        <w:rPr>
          <w:rFonts w:cstheme="minorHAnsi"/>
        </w:rPr>
        <w:t>1</w:t>
      </w:r>
      <w:r w:rsidRPr="003D07A2">
        <w:rPr>
          <w:rFonts w:cstheme="minorHAnsi"/>
        </w:rPr>
        <w:t xml:space="preserve">.gada periodā un par </w:t>
      </w:r>
      <w:r w:rsidR="00456444">
        <w:rPr>
          <w:rFonts w:cstheme="minorHAnsi"/>
        </w:rPr>
        <w:t>40</w:t>
      </w:r>
      <w:r w:rsidRPr="003D07A2">
        <w:rPr>
          <w:rFonts w:cstheme="minorHAnsi"/>
        </w:rPr>
        <w:t xml:space="preserve"> </w:t>
      </w:r>
      <w:proofErr w:type="spellStart"/>
      <w:r w:rsidRPr="003D07A2">
        <w:rPr>
          <w:rFonts w:cstheme="minorHAnsi"/>
        </w:rPr>
        <w:t>euro</w:t>
      </w:r>
      <w:proofErr w:type="spellEnd"/>
      <w:r w:rsidRPr="003D07A2">
        <w:rPr>
          <w:rFonts w:cstheme="minorHAnsi"/>
        </w:rPr>
        <w:t xml:space="preserve"> </w:t>
      </w:r>
      <w:r w:rsidR="00C46A99" w:rsidRPr="003D07A2">
        <w:rPr>
          <w:rFonts w:cstheme="minorHAnsi"/>
        </w:rPr>
        <w:t>vairāk</w:t>
      </w:r>
      <w:r w:rsidRPr="003D07A2">
        <w:rPr>
          <w:rFonts w:cstheme="minorHAnsi"/>
        </w:rPr>
        <w:t xml:space="preserve"> kā sākotnēji plānots</w:t>
      </w:r>
      <w:r w:rsidR="00221F34">
        <w:rPr>
          <w:rFonts w:cstheme="minorHAnsi"/>
        </w:rPr>
        <w:t>, jo plānotajā apmēr</w:t>
      </w:r>
      <w:r w:rsidR="00A46398">
        <w:rPr>
          <w:rFonts w:cstheme="minorHAnsi"/>
        </w:rPr>
        <w:t xml:space="preserve">ā </w:t>
      </w:r>
      <w:r w:rsidR="00221F34">
        <w:rPr>
          <w:rFonts w:cstheme="minorHAnsi"/>
        </w:rPr>
        <w:t>nav ietvertas Covid-19 piemaksas</w:t>
      </w:r>
      <w:r w:rsidR="00A46398">
        <w:rPr>
          <w:rFonts w:cstheme="minorHAnsi"/>
        </w:rPr>
        <w:t xml:space="preserve"> to nenoteiktības dēļ</w:t>
      </w:r>
      <w:r w:rsidRPr="003D07A2">
        <w:rPr>
          <w:rFonts w:cstheme="minorHAnsi"/>
        </w:rPr>
        <w:t>.</w:t>
      </w:r>
    </w:p>
    <w:p w14:paraId="548CC85C" w14:textId="14C7A9B8" w:rsidR="00B3257E" w:rsidRPr="003D07A2" w:rsidRDefault="00B3257E" w:rsidP="00712DD6">
      <w:pPr>
        <w:spacing w:before="100" w:beforeAutospacing="1" w:after="100" w:afterAutospacing="1"/>
        <w:jc w:val="both"/>
        <w:rPr>
          <w:rFonts w:cstheme="minorHAnsi"/>
        </w:rPr>
      </w:pPr>
      <w:r w:rsidRPr="003D07A2">
        <w:rPr>
          <w:rFonts w:cstheme="minorHAnsi"/>
        </w:rPr>
        <w:t>Būtiska ietekme diennakts stacionārā nodarbināto vidējai darba samaksai ir piemaksas darbiniekiem saskaņā V</w:t>
      </w:r>
      <w:r w:rsidR="00E9187E">
        <w:rPr>
          <w:rFonts w:cstheme="minorHAnsi"/>
        </w:rPr>
        <w:t xml:space="preserve">eselības </w:t>
      </w:r>
      <w:r w:rsidR="00DD4EA8">
        <w:rPr>
          <w:rFonts w:cstheme="minorHAnsi"/>
        </w:rPr>
        <w:t>ministrijas</w:t>
      </w:r>
      <w:r w:rsidRPr="003D07A2">
        <w:rPr>
          <w:rFonts w:cstheme="minorHAnsi"/>
        </w:rPr>
        <w:t xml:space="preserve"> rīk</w:t>
      </w:r>
      <w:r w:rsidR="00DD4EA8">
        <w:rPr>
          <w:rFonts w:cstheme="minorHAnsi"/>
        </w:rPr>
        <w:t>ojumiem</w:t>
      </w:r>
      <w:r w:rsidRPr="003D07A2">
        <w:rPr>
          <w:rFonts w:cstheme="minorHAnsi"/>
        </w:rPr>
        <w:t xml:space="preserve"> (par COVID-19 pacientu ārstēšanu, testēšanu, uzņemšanas nodaļa), kā arī papildus virsstundu apmaksa ārkārtējās situācijas laikā</w:t>
      </w:r>
      <w:r w:rsidR="00215612">
        <w:rPr>
          <w:rFonts w:cstheme="minorHAnsi"/>
        </w:rPr>
        <w:t>.</w:t>
      </w:r>
    </w:p>
    <w:p w14:paraId="37EF4F75" w14:textId="63912FC3" w:rsidR="00316600" w:rsidRPr="003D07A2" w:rsidRDefault="002C63E4" w:rsidP="00712DD6">
      <w:pPr>
        <w:spacing w:before="100" w:beforeAutospacing="1" w:after="100" w:afterAutospacing="1"/>
        <w:jc w:val="both"/>
        <w:rPr>
          <w:rFonts w:cstheme="minorHAnsi"/>
        </w:rPr>
      </w:pPr>
      <w:r>
        <w:rPr>
          <w:rFonts w:cstheme="minorHAnsi"/>
        </w:rPr>
        <w:t>Pārskata periodā</w:t>
      </w:r>
      <w:r w:rsidR="00316600" w:rsidRPr="003D07A2">
        <w:rPr>
          <w:rFonts w:cstheme="minorHAnsi"/>
        </w:rPr>
        <w:t xml:space="preserve"> virsstundu darbā iesaistīt</w:t>
      </w:r>
      <w:r w:rsidR="00456444">
        <w:rPr>
          <w:rFonts w:cstheme="minorHAnsi"/>
        </w:rPr>
        <w:t>as</w:t>
      </w:r>
      <w:r w:rsidR="00316600" w:rsidRPr="003D07A2">
        <w:rPr>
          <w:rFonts w:cstheme="minorHAnsi"/>
        </w:rPr>
        <w:t xml:space="preserve"> </w:t>
      </w:r>
      <w:r w:rsidR="000714B1">
        <w:rPr>
          <w:rFonts w:cstheme="minorHAnsi"/>
        </w:rPr>
        <w:t>103</w:t>
      </w:r>
      <w:r>
        <w:rPr>
          <w:rFonts w:cstheme="minorHAnsi"/>
        </w:rPr>
        <w:t xml:space="preserve"> </w:t>
      </w:r>
      <w:r w:rsidR="00316600" w:rsidRPr="003D07A2">
        <w:rPr>
          <w:rFonts w:cstheme="minorHAnsi"/>
        </w:rPr>
        <w:t xml:space="preserve">ārstniecības personas, nostrādājot </w:t>
      </w:r>
      <w:r w:rsidR="000714B1">
        <w:rPr>
          <w:rFonts w:cstheme="minorHAnsi"/>
        </w:rPr>
        <w:t>kopā 2957.25</w:t>
      </w:r>
      <w:r>
        <w:rPr>
          <w:rFonts w:cstheme="minorHAnsi"/>
        </w:rPr>
        <w:t xml:space="preserve"> </w:t>
      </w:r>
      <w:r w:rsidR="00316600" w:rsidRPr="003D07A2">
        <w:rPr>
          <w:rFonts w:cstheme="minorHAnsi"/>
        </w:rPr>
        <w:t xml:space="preserve"> virsstundas, salīdzinoši </w:t>
      </w:r>
      <w:r w:rsidR="00712DD6" w:rsidRPr="003D07A2">
        <w:rPr>
          <w:rFonts w:cstheme="minorHAnsi"/>
        </w:rPr>
        <w:t xml:space="preserve">– </w:t>
      </w:r>
      <w:r>
        <w:rPr>
          <w:rFonts w:cstheme="minorHAnsi"/>
        </w:rPr>
        <w:t xml:space="preserve">2021.gadā </w:t>
      </w:r>
      <w:r w:rsidR="009910E7">
        <w:rPr>
          <w:rFonts w:cstheme="minorHAnsi"/>
        </w:rPr>
        <w:t>125</w:t>
      </w:r>
      <w:r>
        <w:rPr>
          <w:rFonts w:cstheme="minorHAnsi"/>
        </w:rPr>
        <w:t xml:space="preserve"> ārstniecības personas un </w:t>
      </w:r>
      <w:r w:rsidR="009910E7">
        <w:rPr>
          <w:rFonts w:cstheme="minorHAnsi"/>
        </w:rPr>
        <w:t>4740</w:t>
      </w:r>
      <w:r>
        <w:rPr>
          <w:rFonts w:cstheme="minorHAnsi"/>
        </w:rPr>
        <w:t xml:space="preserve"> virsstundas; </w:t>
      </w:r>
      <w:r w:rsidR="00316600" w:rsidRPr="003D07A2">
        <w:rPr>
          <w:rFonts w:cstheme="minorHAnsi"/>
        </w:rPr>
        <w:t>20</w:t>
      </w:r>
      <w:r w:rsidR="00937CAF">
        <w:rPr>
          <w:rFonts w:cstheme="minorHAnsi"/>
        </w:rPr>
        <w:t>20</w:t>
      </w:r>
      <w:r w:rsidR="00316600" w:rsidRPr="003D07A2">
        <w:rPr>
          <w:rFonts w:cstheme="minorHAnsi"/>
        </w:rPr>
        <w:t xml:space="preserve">.gadā virsstundu darbā nodarbinātas </w:t>
      </w:r>
      <w:r w:rsidR="00D96F28">
        <w:rPr>
          <w:rFonts w:cstheme="minorHAnsi"/>
        </w:rPr>
        <w:t>12</w:t>
      </w:r>
      <w:r w:rsidR="00316600" w:rsidRPr="003D07A2">
        <w:rPr>
          <w:rFonts w:cstheme="minorHAnsi"/>
        </w:rPr>
        <w:t xml:space="preserve"> ārstniecības personas, kopā </w:t>
      </w:r>
      <w:r w:rsidR="00D96F28">
        <w:rPr>
          <w:rFonts w:cstheme="minorHAnsi"/>
        </w:rPr>
        <w:t>575.84</w:t>
      </w:r>
      <w:r w:rsidR="00316600" w:rsidRPr="003D07A2">
        <w:rPr>
          <w:rFonts w:cstheme="minorHAnsi"/>
        </w:rPr>
        <w:t xml:space="preserve"> virsstundas.</w:t>
      </w:r>
    </w:p>
    <w:p w14:paraId="00AB455C" w14:textId="539C88CB" w:rsidR="001F17FA" w:rsidRPr="003D07A2" w:rsidRDefault="001F17FA" w:rsidP="00712DD6">
      <w:pPr>
        <w:spacing w:before="100" w:beforeAutospacing="1" w:after="100" w:afterAutospacing="1"/>
        <w:jc w:val="both"/>
        <w:rPr>
          <w:rFonts w:cstheme="minorHAnsi"/>
        </w:rPr>
      </w:pPr>
      <w:r w:rsidRPr="003D07A2">
        <w:rPr>
          <w:rFonts w:cstheme="minorHAnsi"/>
        </w:rPr>
        <w:t xml:space="preserve">Izdevumi atalgojumam pārskata perioda neizpilde saistīta ar darbinieku darba nespēju </w:t>
      </w:r>
      <w:r w:rsidR="00712DD6" w:rsidRPr="003D07A2">
        <w:rPr>
          <w:rFonts w:cstheme="minorHAnsi"/>
        </w:rPr>
        <w:t xml:space="preserve">– </w:t>
      </w:r>
      <w:r w:rsidRPr="003D07A2">
        <w:rPr>
          <w:rFonts w:cstheme="minorHAnsi"/>
        </w:rPr>
        <w:t xml:space="preserve">pārskata periodā kopā </w:t>
      </w:r>
      <w:r w:rsidR="00201744">
        <w:rPr>
          <w:rFonts w:cstheme="minorHAnsi"/>
        </w:rPr>
        <w:t>40559.75</w:t>
      </w:r>
      <w:r w:rsidR="009F2A6D">
        <w:rPr>
          <w:rFonts w:cstheme="minorHAnsi"/>
        </w:rPr>
        <w:t xml:space="preserve"> </w:t>
      </w:r>
      <w:r w:rsidRPr="003D07A2">
        <w:rPr>
          <w:rFonts w:cstheme="minorHAnsi"/>
        </w:rPr>
        <w:t>h B lapas (</w:t>
      </w:r>
      <w:r w:rsidR="001B6F79">
        <w:rPr>
          <w:rFonts w:cstheme="minorHAnsi"/>
        </w:rPr>
        <w:t xml:space="preserve">2021.gadā – </w:t>
      </w:r>
      <w:r w:rsidR="00201744">
        <w:rPr>
          <w:rFonts w:cstheme="minorHAnsi"/>
        </w:rPr>
        <w:t>48642.5</w:t>
      </w:r>
      <w:r w:rsidR="001B6F79">
        <w:rPr>
          <w:rFonts w:cstheme="minorHAnsi"/>
        </w:rPr>
        <w:t xml:space="preserve"> h; </w:t>
      </w:r>
      <w:r w:rsidRPr="003D07A2">
        <w:rPr>
          <w:rFonts w:cstheme="minorHAnsi"/>
        </w:rPr>
        <w:t>20</w:t>
      </w:r>
      <w:r w:rsidR="00937CAF">
        <w:rPr>
          <w:rFonts w:cstheme="minorHAnsi"/>
        </w:rPr>
        <w:t>20</w:t>
      </w:r>
      <w:r w:rsidRPr="003D07A2">
        <w:rPr>
          <w:rFonts w:cstheme="minorHAnsi"/>
        </w:rPr>
        <w:t>.gadā -</w:t>
      </w:r>
      <w:r w:rsidR="00201744">
        <w:rPr>
          <w:rFonts w:cstheme="minorHAnsi"/>
        </w:rPr>
        <w:t>23981</w:t>
      </w:r>
      <w:r w:rsidRPr="003D07A2">
        <w:rPr>
          <w:rFonts w:cstheme="minorHAnsi"/>
        </w:rPr>
        <w:t xml:space="preserve"> h).</w:t>
      </w:r>
    </w:p>
    <w:p w14:paraId="5058EE26" w14:textId="67119523" w:rsidR="00603C3A" w:rsidRPr="003D07A2" w:rsidRDefault="00603C3A" w:rsidP="00712DD6">
      <w:pPr>
        <w:spacing w:before="100" w:beforeAutospacing="1" w:after="100" w:afterAutospacing="1"/>
        <w:jc w:val="center"/>
        <w:rPr>
          <w:rFonts w:cstheme="minorHAnsi"/>
          <w:b/>
          <w:bCs/>
        </w:rPr>
      </w:pPr>
      <w:r w:rsidRPr="003D07A2">
        <w:rPr>
          <w:rFonts w:cstheme="minorHAnsi"/>
          <w:b/>
          <w:bCs/>
        </w:rPr>
        <w:t xml:space="preserve">Vidējā darba samaksa, </w:t>
      </w:r>
      <w:proofErr w:type="spellStart"/>
      <w:r w:rsidRPr="003D07A2">
        <w:rPr>
          <w:rFonts w:cstheme="minorHAnsi"/>
          <w:b/>
          <w:bCs/>
        </w:rPr>
        <w:t>euro</w:t>
      </w:r>
      <w:proofErr w:type="spellEnd"/>
      <w:r w:rsidRPr="003D07A2">
        <w:rPr>
          <w:rFonts w:cstheme="minorHAnsi"/>
          <w:b/>
          <w:bCs/>
        </w:rPr>
        <w:t xml:space="preserve"> uz slodzi</w:t>
      </w:r>
    </w:p>
    <w:tbl>
      <w:tblPr>
        <w:tblStyle w:val="Reatabula"/>
        <w:tblW w:w="8495" w:type="dxa"/>
        <w:tblLayout w:type="fixed"/>
        <w:tblLook w:val="04A0" w:firstRow="1" w:lastRow="0" w:firstColumn="1" w:lastColumn="0" w:noHBand="0" w:noVBand="1"/>
      </w:tblPr>
      <w:tblGrid>
        <w:gridCol w:w="2601"/>
        <w:gridCol w:w="1012"/>
        <w:gridCol w:w="1105"/>
        <w:gridCol w:w="1231"/>
        <w:gridCol w:w="747"/>
        <w:gridCol w:w="872"/>
        <w:gridCol w:w="927"/>
      </w:tblGrid>
      <w:tr w:rsidR="00603C3A" w:rsidRPr="003D07A2" w14:paraId="14F426FB" w14:textId="77777777" w:rsidTr="00BA21B0">
        <w:trPr>
          <w:trHeight w:val="905"/>
        </w:trPr>
        <w:tc>
          <w:tcPr>
            <w:tcW w:w="2601" w:type="dxa"/>
            <w:vAlign w:val="center"/>
          </w:tcPr>
          <w:p w14:paraId="7EB4F6DA" w14:textId="77777777" w:rsidR="00603C3A" w:rsidRPr="003D07A2" w:rsidRDefault="00603C3A" w:rsidP="006E37EF">
            <w:pPr>
              <w:jc w:val="center"/>
              <w:rPr>
                <w:rFonts w:cstheme="minorHAnsi"/>
              </w:rPr>
            </w:pPr>
            <w:r w:rsidRPr="003D07A2">
              <w:rPr>
                <w:rFonts w:cstheme="minorHAnsi"/>
              </w:rPr>
              <w:t>D</w:t>
            </w:r>
            <w:r w:rsidR="009520DF" w:rsidRPr="003D07A2">
              <w:rPr>
                <w:rFonts w:cstheme="minorHAnsi"/>
              </w:rPr>
              <w:t>a</w:t>
            </w:r>
            <w:r w:rsidRPr="003D07A2">
              <w:rPr>
                <w:rFonts w:cstheme="minorHAnsi"/>
              </w:rPr>
              <w:t>rbinieku kategorija</w:t>
            </w:r>
          </w:p>
        </w:tc>
        <w:tc>
          <w:tcPr>
            <w:tcW w:w="1012" w:type="dxa"/>
            <w:vAlign w:val="center"/>
          </w:tcPr>
          <w:p w14:paraId="7F6EFB3C" w14:textId="486BB5E5" w:rsidR="00603C3A" w:rsidRPr="003D07A2" w:rsidRDefault="00603C3A" w:rsidP="006E37EF">
            <w:pPr>
              <w:jc w:val="center"/>
              <w:rPr>
                <w:rFonts w:cstheme="minorHAnsi"/>
                <w:sz w:val="18"/>
                <w:szCs w:val="18"/>
              </w:rPr>
            </w:pPr>
            <w:r w:rsidRPr="003D07A2">
              <w:rPr>
                <w:rFonts w:cstheme="minorHAnsi"/>
                <w:sz w:val="18"/>
                <w:szCs w:val="18"/>
              </w:rPr>
              <w:t>20</w:t>
            </w:r>
            <w:r w:rsidR="006A5EFC">
              <w:rPr>
                <w:rFonts w:cstheme="minorHAnsi"/>
                <w:sz w:val="18"/>
                <w:szCs w:val="18"/>
              </w:rPr>
              <w:t>2</w:t>
            </w:r>
            <w:r w:rsidR="00F51C13">
              <w:rPr>
                <w:rFonts w:cstheme="minorHAnsi"/>
                <w:sz w:val="18"/>
                <w:szCs w:val="18"/>
              </w:rPr>
              <w:t>1</w:t>
            </w:r>
            <w:r w:rsidRPr="003D07A2">
              <w:rPr>
                <w:rFonts w:cstheme="minorHAnsi"/>
                <w:sz w:val="18"/>
                <w:szCs w:val="18"/>
              </w:rPr>
              <w:t>.g</w:t>
            </w:r>
            <w:r w:rsidR="009520DF" w:rsidRPr="003D07A2">
              <w:rPr>
                <w:rFonts w:cstheme="minorHAnsi"/>
                <w:sz w:val="18"/>
                <w:szCs w:val="18"/>
              </w:rPr>
              <w:t>ads</w:t>
            </w:r>
          </w:p>
        </w:tc>
        <w:tc>
          <w:tcPr>
            <w:tcW w:w="1105" w:type="dxa"/>
            <w:vAlign w:val="center"/>
          </w:tcPr>
          <w:p w14:paraId="5FA91851" w14:textId="53DA4058" w:rsidR="00603C3A" w:rsidRPr="003D07A2" w:rsidRDefault="00603C3A" w:rsidP="006E37EF">
            <w:pPr>
              <w:jc w:val="center"/>
              <w:rPr>
                <w:rFonts w:cstheme="minorHAnsi"/>
                <w:sz w:val="18"/>
                <w:szCs w:val="18"/>
              </w:rPr>
            </w:pPr>
            <w:r w:rsidRPr="003D07A2">
              <w:rPr>
                <w:rFonts w:cstheme="minorHAnsi"/>
                <w:sz w:val="18"/>
                <w:szCs w:val="18"/>
              </w:rPr>
              <w:t>202</w:t>
            </w:r>
            <w:r w:rsidR="00F51C13">
              <w:rPr>
                <w:rFonts w:cstheme="minorHAnsi"/>
                <w:sz w:val="18"/>
                <w:szCs w:val="18"/>
              </w:rPr>
              <w:t>2</w:t>
            </w:r>
            <w:r w:rsidRPr="003D07A2">
              <w:rPr>
                <w:rFonts w:cstheme="minorHAnsi"/>
                <w:sz w:val="18"/>
                <w:szCs w:val="18"/>
              </w:rPr>
              <w:t>.g</w:t>
            </w:r>
            <w:r w:rsidR="009520DF" w:rsidRPr="003D07A2">
              <w:rPr>
                <w:rFonts w:cstheme="minorHAnsi"/>
                <w:sz w:val="18"/>
                <w:szCs w:val="18"/>
              </w:rPr>
              <w:t>ada p</w:t>
            </w:r>
            <w:r w:rsidRPr="003D07A2">
              <w:rPr>
                <w:rFonts w:cstheme="minorHAnsi"/>
                <w:sz w:val="18"/>
                <w:szCs w:val="18"/>
              </w:rPr>
              <w:t>lāns</w:t>
            </w:r>
            <w:r w:rsidR="00986382">
              <w:rPr>
                <w:rFonts w:cstheme="minorHAnsi"/>
                <w:sz w:val="18"/>
                <w:szCs w:val="18"/>
              </w:rPr>
              <w:t xml:space="preserve"> (bez </w:t>
            </w:r>
            <w:proofErr w:type="spellStart"/>
            <w:r w:rsidR="00986382">
              <w:rPr>
                <w:rFonts w:cstheme="minorHAnsi"/>
                <w:sz w:val="18"/>
                <w:szCs w:val="18"/>
              </w:rPr>
              <w:t>covid</w:t>
            </w:r>
            <w:proofErr w:type="spellEnd"/>
            <w:r w:rsidR="00986382">
              <w:rPr>
                <w:rFonts w:cstheme="minorHAnsi"/>
                <w:sz w:val="18"/>
                <w:szCs w:val="18"/>
              </w:rPr>
              <w:t xml:space="preserve"> piemaksām</w:t>
            </w:r>
          </w:p>
        </w:tc>
        <w:tc>
          <w:tcPr>
            <w:tcW w:w="1231" w:type="dxa"/>
            <w:vAlign w:val="center"/>
          </w:tcPr>
          <w:p w14:paraId="7516CE70" w14:textId="5FB96897" w:rsidR="00603C3A" w:rsidRPr="003D07A2" w:rsidRDefault="00603C3A" w:rsidP="006E37EF">
            <w:pPr>
              <w:jc w:val="center"/>
              <w:rPr>
                <w:rFonts w:cstheme="minorHAnsi"/>
                <w:sz w:val="18"/>
                <w:szCs w:val="18"/>
              </w:rPr>
            </w:pPr>
            <w:r w:rsidRPr="003D07A2">
              <w:rPr>
                <w:rFonts w:cstheme="minorHAnsi"/>
                <w:sz w:val="18"/>
                <w:szCs w:val="18"/>
              </w:rPr>
              <w:t>202</w:t>
            </w:r>
            <w:r w:rsidR="00F51C13">
              <w:rPr>
                <w:rFonts w:cstheme="minorHAnsi"/>
                <w:sz w:val="18"/>
                <w:szCs w:val="18"/>
              </w:rPr>
              <w:t>2</w:t>
            </w:r>
            <w:r w:rsidRPr="003D07A2">
              <w:rPr>
                <w:rFonts w:cstheme="minorHAnsi"/>
                <w:sz w:val="18"/>
                <w:szCs w:val="18"/>
              </w:rPr>
              <w:t>.g</w:t>
            </w:r>
            <w:r w:rsidR="009520DF" w:rsidRPr="003D07A2">
              <w:rPr>
                <w:rFonts w:cstheme="minorHAnsi"/>
                <w:sz w:val="18"/>
                <w:szCs w:val="18"/>
              </w:rPr>
              <w:t xml:space="preserve">ada </w:t>
            </w:r>
            <w:r w:rsidRPr="003D07A2">
              <w:rPr>
                <w:rFonts w:cstheme="minorHAnsi"/>
                <w:sz w:val="18"/>
                <w:szCs w:val="18"/>
              </w:rPr>
              <w:t>fakts</w:t>
            </w:r>
            <w:r w:rsidR="00BA21B0">
              <w:rPr>
                <w:rFonts w:cstheme="minorHAnsi"/>
                <w:sz w:val="18"/>
                <w:szCs w:val="18"/>
              </w:rPr>
              <w:t xml:space="preserve">/bez </w:t>
            </w:r>
            <w:proofErr w:type="spellStart"/>
            <w:r w:rsidR="00BA21B0">
              <w:rPr>
                <w:rFonts w:cstheme="minorHAnsi"/>
                <w:sz w:val="18"/>
                <w:szCs w:val="18"/>
              </w:rPr>
              <w:t>covid</w:t>
            </w:r>
            <w:proofErr w:type="spellEnd"/>
            <w:r w:rsidR="00BA21B0">
              <w:rPr>
                <w:rFonts w:cstheme="minorHAnsi"/>
                <w:sz w:val="18"/>
                <w:szCs w:val="18"/>
              </w:rPr>
              <w:t xml:space="preserve"> piemaksām</w:t>
            </w:r>
          </w:p>
        </w:tc>
        <w:tc>
          <w:tcPr>
            <w:tcW w:w="747" w:type="dxa"/>
          </w:tcPr>
          <w:p w14:paraId="06FA97ED" w14:textId="77777777" w:rsidR="00603C3A" w:rsidRPr="003D07A2" w:rsidRDefault="00603C3A" w:rsidP="006E37EF">
            <w:pPr>
              <w:jc w:val="center"/>
              <w:rPr>
                <w:rFonts w:cstheme="minorHAnsi"/>
                <w:sz w:val="18"/>
                <w:szCs w:val="18"/>
              </w:rPr>
            </w:pPr>
            <w:r w:rsidRPr="003D07A2">
              <w:rPr>
                <w:rFonts w:cstheme="minorHAnsi"/>
                <w:sz w:val="18"/>
                <w:szCs w:val="18"/>
              </w:rPr>
              <w:t xml:space="preserve">MK </w:t>
            </w:r>
            <w:proofErr w:type="spellStart"/>
            <w:r w:rsidRPr="003D07A2">
              <w:rPr>
                <w:rFonts w:cstheme="minorHAnsi"/>
                <w:sz w:val="18"/>
                <w:szCs w:val="18"/>
              </w:rPr>
              <w:t>not.Nr</w:t>
            </w:r>
            <w:proofErr w:type="spellEnd"/>
            <w:r w:rsidRPr="003D07A2">
              <w:rPr>
                <w:rFonts w:cstheme="minorHAnsi"/>
                <w:sz w:val="18"/>
                <w:szCs w:val="18"/>
              </w:rPr>
              <w:t>. 555, tarifā</w:t>
            </w:r>
          </w:p>
        </w:tc>
        <w:tc>
          <w:tcPr>
            <w:tcW w:w="872" w:type="dxa"/>
            <w:vAlign w:val="center"/>
          </w:tcPr>
          <w:p w14:paraId="56A30EAD" w14:textId="0F846E44" w:rsidR="00603C3A" w:rsidRPr="003D07A2" w:rsidRDefault="00603C3A" w:rsidP="006E37EF">
            <w:pPr>
              <w:jc w:val="center"/>
              <w:rPr>
                <w:rFonts w:cstheme="minorHAnsi"/>
                <w:sz w:val="18"/>
                <w:szCs w:val="18"/>
              </w:rPr>
            </w:pPr>
            <w:r w:rsidRPr="003D07A2">
              <w:rPr>
                <w:rFonts w:cstheme="minorHAnsi"/>
                <w:sz w:val="18"/>
                <w:szCs w:val="18"/>
              </w:rPr>
              <w:t>Novirze pret 20</w:t>
            </w:r>
            <w:r w:rsidR="006A5EFC">
              <w:rPr>
                <w:rFonts w:cstheme="minorHAnsi"/>
                <w:sz w:val="18"/>
                <w:szCs w:val="18"/>
              </w:rPr>
              <w:t>2</w:t>
            </w:r>
            <w:r w:rsidR="00F51C13">
              <w:rPr>
                <w:rFonts w:cstheme="minorHAnsi"/>
                <w:sz w:val="18"/>
                <w:szCs w:val="18"/>
              </w:rPr>
              <w:t>1</w:t>
            </w:r>
            <w:r w:rsidRPr="003D07A2">
              <w:rPr>
                <w:rFonts w:cstheme="minorHAnsi"/>
                <w:sz w:val="18"/>
                <w:szCs w:val="18"/>
              </w:rPr>
              <w:t>.g.</w:t>
            </w:r>
          </w:p>
        </w:tc>
        <w:tc>
          <w:tcPr>
            <w:tcW w:w="927" w:type="dxa"/>
            <w:vAlign w:val="center"/>
          </w:tcPr>
          <w:p w14:paraId="4876E9CD" w14:textId="4E61583B" w:rsidR="00603C3A" w:rsidRPr="003D07A2" w:rsidRDefault="00603C3A" w:rsidP="006E37EF">
            <w:pPr>
              <w:jc w:val="center"/>
              <w:rPr>
                <w:rFonts w:cstheme="minorHAnsi"/>
                <w:sz w:val="18"/>
                <w:szCs w:val="18"/>
              </w:rPr>
            </w:pPr>
            <w:r w:rsidRPr="003D07A2">
              <w:rPr>
                <w:rFonts w:cstheme="minorHAnsi"/>
                <w:sz w:val="18"/>
                <w:szCs w:val="18"/>
              </w:rPr>
              <w:t>Novirze pret plānu</w:t>
            </w:r>
            <w:r w:rsidR="00247359">
              <w:rPr>
                <w:rFonts w:cstheme="minorHAnsi"/>
                <w:sz w:val="18"/>
                <w:szCs w:val="18"/>
              </w:rPr>
              <w:t xml:space="preserve"> (bez </w:t>
            </w:r>
            <w:proofErr w:type="spellStart"/>
            <w:r w:rsidR="00247359">
              <w:rPr>
                <w:rFonts w:cstheme="minorHAnsi"/>
                <w:sz w:val="18"/>
                <w:szCs w:val="18"/>
              </w:rPr>
              <w:t>covid</w:t>
            </w:r>
            <w:proofErr w:type="spellEnd"/>
            <w:r w:rsidR="00247359">
              <w:rPr>
                <w:rFonts w:cstheme="minorHAnsi"/>
                <w:sz w:val="18"/>
                <w:szCs w:val="18"/>
              </w:rPr>
              <w:t xml:space="preserve"> piemaksām)</w:t>
            </w:r>
          </w:p>
        </w:tc>
      </w:tr>
      <w:tr w:rsidR="00691905" w:rsidRPr="003D07A2" w14:paraId="12EBCEF8" w14:textId="77777777" w:rsidTr="00BA21B0">
        <w:trPr>
          <w:trHeight w:val="460"/>
        </w:trPr>
        <w:tc>
          <w:tcPr>
            <w:tcW w:w="2601" w:type="dxa"/>
          </w:tcPr>
          <w:p w14:paraId="758825ED" w14:textId="77777777" w:rsidR="00691905" w:rsidRPr="003D07A2" w:rsidRDefault="00691905" w:rsidP="00691905">
            <w:pPr>
              <w:rPr>
                <w:rFonts w:cstheme="minorHAnsi"/>
              </w:rPr>
            </w:pPr>
            <w:r w:rsidRPr="003D07A2">
              <w:rPr>
                <w:rFonts w:cstheme="minorHAnsi"/>
              </w:rPr>
              <w:t>Ārsti, tai skaitā funkcionālie speciālisti</w:t>
            </w:r>
          </w:p>
        </w:tc>
        <w:tc>
          <w:tcPr>
            <w:tcW w:w="1012" w:type="dxa"/>
          </w:tcPr>
          <w:p w14:paraId="0323DE87" w14:textId="165E86CC" w:rsidR="00691905" w:rsidRPr="003D07A2" w:rsidRDefault="00691905" w:rsidP="00691905">
            <w:pPr>
              <w:jc w:val="center"/>
              <w:rPr>
                <w:rFonts w:cstheme="minorHAnsi"/>
              </w:rPr>
            </w:pPr>
            <w:r>
              <w:rPr>
                <w:rFonts w:cstheme="minorHAnsi"/>
              </w:rPr>
              <w:t>2837</w:t>
            </w:r>
          </w:p>
        </w:tc>
        <w:tc>
          <w:tcPr>
            <w:tcW w:w="1105" w:type="dxa"/>
          </w:tcPr>
          <w:p w14:paraId="121C840A" w14:textId="7D5A8B07" w:rsidR="00691905" w:rsidRPr="003D07A2" w:rsidRDefault="00607F92" w:rsidP="00691905">
            <w:pPr>
              <w:jc w:val="center"/>
              <w:rPr>
                <w:rFonts w:cstheme="minorHAnsi"/>
              </w:rPr>
            </w:pPr>
            <w:r>
              <w:rPr>
                <w:rFonts w:cstheme="minorHAnsi"/>
              </w:rPr>
              <w:t>2630</w:t>
            </w:r>
          </w:p>
        </w:tc>
        <w:tc>
          <w:tcPr>
            <w:tcW w:w="1231" w:type="dxa"/>
          </w:tcPr>
          <w:p w14:paraId="6B022071" w14:textId="0D6B0C6E" w:rsidR="00691905" w:rsidRPr="003D07A2" w:rsidRDefault="00691905" w:rsidP="00691905">
            <w:pPr>
              <w:jc w:val="center"/>
              <w:rPr>
                <w:rFonts w:cstheme="minorHAnsi"/>
              </w:rPr>
            </w:pPr>
            <w:r>
              <w:rPr>
                <w:rFonts w:cstheme="minorHAnsi"/>
              </w:rPr>
              <w:t>2</w:t>
            </w:r>
            <w:r w:rsidR="00142477">
              <w:rPr>
                <w:rFonts w:cstheme="minorHAnsi"/>
              </w:rPr>
              <w:t>744</w:t>
            </w:r>
            <w:r>
              <w:rPr>
                <w:rFonts w:cstheme="minorHAnsi"/>
              </w:rPr>
              <w:t>/2</w:t>
            </w:r>
            <w:r w:rsidR="00142477">
              <w:rPr>
                <w:rFonts w:cstheme="minorHAnsi"/>
              </w:rPr>
              <w:t>509</w:t>
            </w:r>
          </w:p>
        </w:tc>
        <w:tc>
          <w:tcPr>
            <w:tcW w:w="747" w:type="dxa"/>
          </w:tcPr>
          <w:p w14:paraId="4BA3715B" w14:textId="177685F8" w:rsidR="00691905" w:rsidRPr="003D07A2" w:rsidRDefault="00691905" w:rsidP="00691905">
            <w:pPr>
              <w:jc w:val="center"/>
              <w:rPr>
                <w:rFonts w:cstheme="minorHAnsi"/>
              </w:rPr>
            </w:pPr>
            <w:r>
              <w:rPr>
                <w:rFonts w:cstheme="minorHAnsi"/>
              </w:rPr>
              <w:t>1963</w:t>
            </w:r>
          </w:p>
        </w:tc>
        <w:tc>
          <w:tcPr>
            <w:tcW w:w="872" w:type="dxa"/>
          </w:tcPr>
          <w:p w14:paraId="584095E3" w14:textId="2E59BA22" w:rsidR="00691905" w:rsidRPr="003D07A2" w:rsidRDefault="00C63979" w:rsidP="00691905">
            <w:pPr>
              <w:jc w:val="center"/>
              <w:rPr>
                <w:rFonts w:cstheme="minorHAnsi"/>
              </w:rPr>
            </w:pPr>
            <w:r>
              <w:rPr>
                <w:rFonts w:cstheme="minorHAnsi"/>
              </w:rPr>
              <w:t>-93</w:t>
            </w:r>
          </w:p>
        </w:tc>
        <w:tc>
          <w:tcPr>
            <w:tcW w:w="927" w:type="dxa"/>
          </w:tcPr>
          <w:p w14:paraId="40C2F989" w14:textId="2BBAF7F7" w:rsidR="00691905" w:rsidRPr="003D07A2" w:rsidRDefault="00691905" w:rsidP="00691905">
            <w:pPr>
              <w:jc w:val="center"/>
              <w:rPr>
                <w:rFonts w:cstheme="minorHAnsi"/>
              </w:rPr>
            </w:pPr>
            <w:r>
              <w:rPr>
                <w:rFonts w:cstheme="minorHAnsi"/>
              </w:rPr>
              <w:t>-1</w:t>
            </w:r>
            <w:r w:rsidR="00134399">
              <w:rPr>
                <w:rFonts w:cstheme="minorHAnsi"/>
              </w:rPr>
              <w:t>21</w:t>
            </w:r>
          </w:p>
        </w:tc>
      </w:tr>
      <w:tr w:rsidR="00691905" w:rsidRPr="003D07A2" w14:paraId="650F1022" w14:textId="77777777" w:rsidTr="00BA21B0">
        <w:trPr>
          <w:trHeight w:val="444"/>
        </w:trPr>
        <w:tc>
          <w:tcPr>
            <w:tcW w:w="2601" w:type="dxa"/>
          </w:tcPr>
          <w:p w14:paraId="7B6FBD88" w14:textId="77777777" w:rsidR="00691905" w:rsidRPr="003D07A2" w:rsidRDefault="00691905" w:rsidP="00691905">
            <w:pPr>
              <w:rPr>
                <w:rFonts w:cstheme="minorHAnsi"/>
              </w:rPr>
            </w:pPr>
            <w:r w:rsidRPr="003D07A2">
              <w:rPr>
                <w:rFonts w:cstheme="minorHAnsi"/>
              </w:rPr>
              <w:t>Ārstniecības un pacientu aprūpes personāls</w:t>
            </w:r>
          </w:p>
        </w:tc>
        <w:tc>
          <w:tcPr>
            <w:tcW w:w="1012" w:type="dxa"/>
          </w:tcPr>
          <w:p w14:paraId="08C70884" w14:textId="3B9FF7BF" w:rsidR="00691905" w:rsidRPr="003D07A2" w:rsidRDefault="00691905" w:rsidP="00691905">
            <w:pPr>
              <w:jc w:val="center"/>
              <w:rPr>
                <w:rFonts w:cstheme="minorHAnsi"/>
              </w:rPr>
            </w:pPr>
            <w:r>
              <w:rPr>
                <w:rFonts w:cstheme="minorHAnsi"/>
              </w:rPr>
              <w:t>1811</w:t>
            </w:r>
          </w:p>
        </w:tc>
        <w:tc>
          <w:tcPr>
            <w:tcW w:w="1105" w:type="dxa"/>
          </w:tcPr>
          <w:p w14:paraId="569E580A" w14:textId="3C64A7D1" w:rsidR="00691905" w:rsidRPr="003D07A2" w:rsidRDefault="00607F92" w:rsidP="00691905">
            <w:pPr>
              <w:jc w:val="center"/>
              <w:rPr>
                <w:rFonts w:cstheme="minorHAnsi"/>
              </w:rPr>
            </w:pPr>
            <w:r>
              <w:rPr>
                <w:rFonts w:cstheme="minorHAnsi"/>
              </w:rPr>
              <w:t>1558</w:t>
            </w:r>
          </w:p>
        </w:tc>
        <w:tc>
          <w:tcPr>
            <w:tcW w:w="1231" w:type="dxa"/>
          </w:tcPr>
          <w:p w14:paraId="13A4584B" w14:textId="68492844" w:rsidR="00691905" w:rsidRPr="003D07A2" w:rsidRDefault="00691905" w:rsidP="00691905">
            <w:pPr>
              <w:jc w:val="center"/>
              <w:rPr>
                <w:rFonts w:cstheme="minorHAnsi"/>
              </w:rPr>
            </w:pPr>
            <w:r>
              <w:rPr>
                <w:rFonts w:cstheme="minorHAnsi"/>
              </w:rPr>
              <w:t>1</w:t>
            </w:r>
            <w:r w:rsidR="00142477">
              <w:rPr>
                <w:rFonts w:cstheme="minorHAnsi"/>
              </w:rPr>
              <w:t>819</w:t>
            </w:r>
            <w:r>
              <w:rPr>
                <w:rFonts w:cstheme="minorHAnsi"/>
              </w:rPr>
              <w:t>/1</w:t>
            </w:r>
            <w:r w:rsidR="00142477">
              <w:rPr>
                <w:rFonts w:cstheme="minorHAnsi"/>
              </w:rPr>
              <w:t>612</w:t>
            </w:r>
          </w:p>
        </w:tc>
        <w:tc>
          <w:tcPr>
            <w:tcW w:w="747" w:type="dxa"/>
          </w:tcPr>
          <w:p w14:paraId="22DBF4DD" w14:textId="0AC19085" w:rsidR="00691905" w:rsidRPr="003D07A2" w:rsidRDefault="00691905" w:rsidP="00691905">
            <w:pPr>
              <w:jc w:val="center"/>
              <w:rPr>
                <w:rFonts w:cstheme="minorHAnsi"/>
              </w:rPr>
            </w:pPr>
            <w:r>
              <w:rPr>
                <w:rFonts w:cstheme="minorHAnsi"/>
              </w:rPr>
              <w:t>1183</w:t>
            </w:r>
          </w:p>
        </w:tc>
        <w:tc>
          <w:tcPr>
            <w:tcW w:w="872" w:type="dxa"/>
          </w:tcPr>
          <w:p w14:paraId="6B4D7DED" w14:textId="7F33CC8B" w:rsidR="00691905" w:rsidRPr="003D07A2" w:rsidRDefault="00691905" w:rsidP="00691905">
            <w:pPr>
              <w:jc w:val="center"/>
              <w:rPr>
                <w:rFonts w:cstheme="minorHAnsi"/>
              </w:rPr>
            </w:pPr>
            <w:r>
              <w:rPr>
                <w:rFonts w:cstheme="minorHAnsi"/>
              </w:rPr>
              <w:t>+</w:t>
            </w:r>
            <w:r w:rsidR="00C63979">
              <w:rPr>
                <w:rFonts w:cstheme="minorHAnsi"/>
              </w:rPr>
              <w:t>8</w:t>
            </w:r>
          </w:p>
        </w:tc>
        <w:tc>
          <w:tcPr>
            <w:tcW w:w="927" w:type="dxa"/>
          </w:tcPr>
          <w:p w14:paraId="16E4DD6B" w14:textId="760F7C48" w:rsidR="00691905" w:rsidRPr="003D07A2" w:rsidRDefault="00691905" w:rsidP="00691905">
            <w:pPr>
              <w:jc w:val="center"/>
              <w:rPr>
                <w:rFonts w:cstheme="minorHAnsi"/>
              </w:rPr>
            </w:pPr>
            <w:r>
              <w:rPr>
                <w:rFonts w:cstheme="minorHAnsi"/>
              </w:rPr>
              <w:t>+</w:t>
            </w:r>
            <w:r w:rsidR="00134399">
              <w:rPr>
                <w:rFonts w:cstheme="minorHAnsi"/>
              </w:rPr>
              <w:t>54</w:t>
            </w:r>
          </w:p>
        </w:tc>
      </w:tr>
      <w:tr w:rsidR="00691905" w:rsidRPr="003D07A2" w14:paraId="037ECC7E" w14:textId="77777777" w:rsidTr="00BA21B0">
        <w:trPr>
          <w:trHeight w:val="444"/>
        </w:trPr>
        <w:tc>
          <w:tcPr>
            <w:tcW w:w="2601" w:type="dxa"/>
          </w:tcPr>
          <w:p w14:paraId="0DEAE662" w14:textId="77777777" w:rsidR="00691905" w:rsidRPr="003D07A2" w:rsidRDefault="00691905" w:rsidP="00691905">
            <w:pPr>
              <w:rPr>
                <w:rFonts w:cstheme="minorHAnsi"/>
              </w:rPr>
            </w:pPr>
            <w:r w:rsidRPr="003D07A2">
              <w:rPr>
                <w:rFonts w:cstheme="minorHAnsi"/>
              </w:rPr>
              <w:t>Ārstniecības un pacientu aprūpes atbalsta personāls</w:t>
            </w:r>
          </w:p>
        </w:tc>
        <w:tc>
          <w:tcPr>
            <w:tcW w:w="1012" w:type="dxa"/>
          </w:tcPr>
          <w:p w14:paraId="07950503" w14:textId="554C9884" w:rsidR="00691905" w:rsidRPr="003D07A2" w:rsidRDefault="00691905" w:rsidP="00691905">
            <w:pPr>
              <w:jc w:val="center"/>
              <w:rPr>
                <w:rFonts w:cstheme="minorHAnsi"/>
              </w:rPr>
            </w:pPr>
            <w:r>
              <w:rPr>
                <w:rFonts w:cstheme="minorHAnsi"/>
              </w:rPr>
              <w:t>1139</w:t>
            </w:r>
          </w:p>
        </w:tc>
        <w:tc>
          <w:tcPr>
            <w:tcW w:w="1105" w:type="dxa"/>
          </w:tcPr>
          <w:p w14:paraId="7AEDFB89" w14:textId="1A1F1A5F" w:rsidR="00691905" w:rsidRPr="003D07A2" w:rsidRDefault="00607F92" w:rsidP="00691905">
            <w:pPr>
              <w:jc w:val="center"/>
              <w:rPr>
                <w:rFonts w:cstheme="minorHAnsi"/>
              </w:rPr>
            </w:pPr>
            <w:r>
              <w:rPr>
                <w:rFonts w:cstheme="minorHAnsi"/>
              </w:rPr>
              <w:t>988</w:t>
            </w:r>
          </w:p>
        </w:tc>
        <w:tc>
          <w:tcPr>
            <w:tcW w:w="1231" w:type="dxa"/>
          </w:tcPr>
          <w:p w14:paraId="16D7A07F" w14:textId="3E8A7DEC" w:rsidR="00691905" w:rsidRPr="003D07A2" w:rsidRDefault="00691905" w:rsidP="00691905">
            <w:pPr>
              <w:jc w:val="center"/>
              <w:rPr>
                <w:rFonts w:cstheme="minorHAnsi"/>
              </w:rPr>
            </w:pPr>
            <w:r>
              <w:rPr>
                <w:rFonts w:cstheme="minorHAnsi"/>
              </w:rPr>
              <w:t>1</w:t>
            </w:r>
            <w:r w:rsidR="00142477">
              <w:rPr>
                <w:rFonts w:cstheme="minorHAnsi"/>
              </w:rPr>
              <w:t>069</w:t>
            </w:r>
            <w:r>
              <w:rPr>
                <w:rFonts w:cstheme="minorHAnsi"/>
              </w:rPr>
              <w:t>/9</w:t>
            </w:r>
            <w:r w:rsidR="00142477">
              <w:rPr>
                <w:rFonts w:cstheme="minorHAnsi"/>
              </w:rPr>
              <w:t>62</w:t>
            </w:r>
          </w:p>
        </w:tc>
        <w:tc>
          <w:tcPr>
            <w:tcW w:w="747" w:type="dxa"/>
          </w:tcPr>
          <w:p w14:paraId="6934E700" w14:textId="4B92F9B3" w:rsidR="00691905" w:rsidRPr="003D07A2" w:rsidRDefault="00691905" w:rsidP="00691905">
            <w:pPr>
              <w:jc w:val="center"/>
              <w:rPr>
                <w:rFonts w:cstheme="minorHAnsi"/>
              </w:rPr>
            </w:pPr>
            <w:r>
              <w:rPr>
                <w:rFonts w:cstheme="minorHAnsi"/>
              </w:rPr>
              <w:t>745</w:t>
            </w:r>
          </w:p>
        </w:tc>
        <w:tc>
          <w:tcPr>
            <w:tcW w:w="872" w:type="dxa"/>
          </w:tcPr>
          <w:p w14:paraId="2D8ED40D" w14:textId="156F113C" w:rsidR="00691905" w:rsidRPr="003D07A2" w:rsidRDefault="00691905" w:rsidP="00691905">
            <w:pPr>
              <w:jc w:val="center"/>
              <w:rPr>
                <w:rFonts w:cstheme="minorHAnsi"/>
              </w:rPr>
            </w:pPr>
            <w:r>
              <w:rPr>
                <w:rFonts w:cstheme="minorHAnsi"/>
              </w:rPr>
              <w:t>-</w:t>
            </w:r>
            <w:r w:rsidR="00B91966">
              <w:rPr>
                <w:rFonts w:cstheme="minorHAnsi"/>
              </w:rPr>
              <w:t>7</w:t>
            </w:r>
            <w:r>
              <w:rPr>
                <w:rFonts w:cstheme="minorHAnsi"/>
              </w:rPr>
              <w:t>0</w:t>
            </w:r>
          </w:p>
        </w:tc>
        <w:tc>
          <w:tcPr>
            <w:tcW w:w="927" w:type="dxa"/>
          </w:tcPr>
          <w:p w14:paraId="5B69C386" w14:textId="5F6A88E9" w:rsidR="00691905" w:rsidRPr="003D07A2" w:rsidRDefault="00691905" w:rsidP="00691905">
            <w:pPr>
              <w:jc w:val="center"/>
              <w:rPr>
                <w:rFonts w:cstheme="minorHAnsi"/>
              </w:rPr>
            </w:pPr>
            <w:r>
              <w:rPr>
                <w:rFonts w:cstheme="minorHAnsi"/>
              </w:rPr>
              <w:t>-2</w:t>
            </w:r>
            <w:r w:rsidR="00FC1EA4">
              <w:rPr>
                <w:rFonts w:cstheme="minorHAnsi"/>
              </w:rPr>
              <w:t>6</w:t>
            </w:r>
          </w:p>
        </w:tc>
      </w:tr>
      <w:tr w:rsidR="00691905" w:rsidRPr="003D07A2" w14:paraId="3769B045" w14:textId="77777777" w:rsidTr="00BA21B0">
        <w:trPr>
          <w:trHeight w:val="222"/>
        </w:trPr>
        <w:tc>
          <w:tcPr>
            <w:tcW w:w="2601" w:type="dxa"/>
          </w:tcPr>
          <w:p w14:paraId="3277A4F6" w14:textId="77777777" w:rsidR="00691905" w:rsidRPr="003D07A2" w:rsidRDefault="00691905" w:rsidP="00691905">
            <w:pPr>
              <w:rPr>
                <w:rFonts w:cstheme="minorHAnsi"/>
              </w:rPr>
            </w:pPr>
            <w:r w:rsidRPr="003D07A2">
              <w:rPr>
                <w:rFonts w:cstheme="minorHAnsi"/>
              </w:rPr>
              <w:t>Administrācija</w:t>
            </w:r>
          </w:p>
        </w:tc>
        <w:tc>
          <w:tcPr>
            <w:tcW w:w="1012" w:type="dxa"/>
          </w:tcPr>
          <w:p w14:paraId="33004B22" w14:textId="3C441E0A" w:rsidR="00691905" w:rsidRPr="003D07A2" w:rsidRDefault="00691905" w:rsidP="00691905">
            <w:pPr>
              <w:jc w:val="center"/>
              <w:rPr>
                <w:rFonts w:cstheme="minorHAnsi"/>
              </w:rPr>
            </w:pPr>
            <w:r>
              <w:rPr>
                <w:rFonts w:cstheme="minorHAnsi"/>
              </w:rPr>
              <w:t>2276</w:t>
            </w:r>
          </w:p>
        </w:tc>
        <w:tc>
          <w:tcPr>
            <w:tcW w:w="1105" w:type="dxa"/>
          </w:tcPr>
          <w:p w14:paraId="2D4F220E" w14:textId="53942740" w:rsidR="00691905" w:rsidRPr="003D07A2" w:rsidRDefault="00691905" w:rsidP="00691905">
            <w:pPr>
              <w:jc w:val="center"/>
              <w:rPr>
                <w:rFonts w:cstheme="minorHAnsi"/>
              </w:rPr>
            </w:pPr>
            <w:r>
              <w:rPr>
                <w:rFonts w:cstheme="minorHAnsi"/>
              </w:rPr>
              <w:t>22</w:t>
            </w:r>
            <w:r w:rsidR="00607F92">
              <w:rPr>
                <w:rFonts w:cstheme="minorHAnsi"/>
              </w:rPr>
              <w:t>2</w:t>
            </w:r>
            <w:r>
              <w:rPr>
                <w:rFonts w:cstheme="minorHAnsi"/>
              </w:rPr>
              <w:t>5</w:t>
            </w:r>
          </w:p>
        </w:tc>
        <w:tc>
          <w:tcPr>
            <w:tcW w:w="1231" w:type="dxa"/>
          </w:tcPr>
          <w:p w14:paraId="4FDA5099" w14:textId="520509E1" w:rsidR="00691905" w:rsidRPr="003D07A2" w:rsidRDefault="00691905" w:rsidP="00691905">
            <w:pPr>
              <w:jc w:val="center"/>
              <w:rPr>
                <w:rFonts w:cstheme="minorHAnsi"/>
              </w:rPr>
            </w:pPr>
            <w:r>
              <w:rPr>
                <w:rFonts w:cstheme="minorHAnsi"/>
              </w:rPr>
              <w:t>21</w:t>
            </w:r>
            <w:r w:rsidR="00142477">
              <w:rPr>
                <w:rFonts w:cstheme="minorHAnsi"/>
              </w:rPr>
              <w:t>44</w:t>
            </w:r>
          </w:p>
        </w:tc>
        <w:tc>
          <w:tcPr>
            <w:tcW w:w="747" w:type="dxa"/>
          </w:tcPr>
          <w:p w14:paraId="0552CB70" w14:textId="77777777" w:rsidR="00691905" w:rsidRPr="003D07A2" w:rsidRDefault="00691905" w:rsidP="00691905">
            <w:pPr>
              <w:jc w:val="center"/>
              <w:rPr>
                <w:rFonts w:cstheme="minorHAnsi"/>
              </w:rPr>
            </w:pPr>
            <w:r w:rsidRPr="003D07A2">
              <w:rPr>
                <w:rFonts w:cstheme="minorHAnsi"/>
              </w:rPr>
              <w:t>x</w:t>
            </w:r>
          </w:p>
        </w:tc>
        <w:tc>
          <w:tcPr>
            <w:tcW w:w="872" w:type="dxa"/>
          </w:tcPr>
          <w:p w14:paraId="54533099" w14:textId="712499A8" w:rsidR="00691905" w:rsidRPr="003D07A2" w:rsidRDefault="00691905" w:rsidP="00691905">
            <w:pPr>
              <w:jc w:val="center"/>
              <w:rPr>
                <w:rFonts w:cstheme="minorHAnsi"/>
              </w:rPr>
            </w:pPr>
            <w:r>
              <w:rPr>
                <w:rFonts w:cstheme="minorHAnsi"/>
              </w:rPr>
              <w:t>-1</w:t>
            </w:r>
            <w:r w:rsidR="00B91966">
              <w:rPr>
                <w:rFonts w:cstheme="minorHAnsi"/>
              </w:rPr>
              <w:t>32</w:t>
            </w:r>
          </w:p>
        </w:tc>
        <w:tc>
          <w:tcPr>
            <w:tcW w:w="927" w:type="dxa"/>
          </w:tcPr>
          <w:p w14:paraId="167C3E2B" w14:textId="19DBC4FF" w:rsidR="00691905" w:rsidRPr="003D07A2" w:rsidRDefault="00691905" w:rsidP="00691905">
            <w:pPr>
              <w:jc w:val="center"/>
              <w:rPr>
                <w:rFonts w:cstheme="minorHAnsi"/>
              </w:rPr>
            </w:pPr>
            <w:r>
              <w:rPr>
                <w:rFonts w:cstheme="minorHAnsi"/>
              </w:rPr>
              <w:t>-</w:t>
            </w:r>
            <w:r w:rsidR="00FC1EA4">
              <w:rPr>
                <w:rFonts w:cstheme="minorHAnsi"/>
              </w:rPr>
              <w:t>81</w:t>
            </w:r>
          </w:p>
        </w:tc>
      </w:tr>
      <w:tr w:rsidR="00691905" w:rsidRPr="003D07A2" w14:paraId="02AA56E8" w14:textId="77777777" w:rsidTr="00BA21B0">
        <w:trPr>
          <w:trHeight w:val="222"/>
        </w:trPr>
        <w:tc>
          <w:tcPr>
            <w:tcW w:w="2601" w:type="dxa"/>
          </w:tcPr>
          <w:p w14:paraId="6C9C06D4" w14:textId="77777777" w:rsidR="00691905" w:rsidRPr="003D07A2" w:rsidRDefault="00691905" w:rsidP="00691905">
            <w:pPr>
              <w:rPr>
                <w:rFonts w:cstheme="minorHAnsi"/>
              </w:rPr>
            </w:pPr>
            <w:r w:rsidRPr="003D07A2">
              <w:rPr>
                <w:rFonts w:cstheme="minorHAnsi"/>
              </w:rPr>
              <w:t>Pārējie darbinieki</w:t>
            </w:r>
          </w:p>
        </w:tc>
        <w:tc>
          <w:tcPr>
            <w:tcW w:w="1012" w:type="dxa"/>
          </w:tcPr>
          <w:p w14:paraId="38BEE2F6" w14:textId="0FE782B7" w:rsidR="00691905" w:rsidRPr="003D07A2" w:rsidRDefault="00691905" w:rsidP="00691905">
            <w:pPr>
              <w:jc w:val="center"/>
              <w:rPr>
                <w:rFonts w:cstheme="minorHAnsi"/>
              </w:rPr>
            </w:pPr>
            <w:r>
              <w:rPr>
                <w:rFonts w:cstheme="minorHAnsi"/>
              </w:rPr>
              <w:t>899</w:t>
            </w:r>
          </w:p>
        </w:tc>
        <w:tc>
          <w:tcPr>
            <w:tcW w:w="1105" w:type="dxa"/>
          </w:tcPr>
          <w:p w14:paraId="0E15B93C" w14:textId="52363D6E" w:rsidR="00691905" w:rsidRPr="003D07A2" w:rsidRDefault="00607F92" w:rsidP="00691905">
            <w:pPr>
              <w:jc w:val="center"/>
              <w:rPr>
                <w:rFonts w:cstheme="minorHAnsi"/>
              </w:rPr>
            </w:pPr>
            <w:r>
              <w:rPr>
                <w:rFonts w:cstheme="minorHAnsi"/>
              </w:rPr>
              <w:t>898</w:t>
            </w:r>
          </w:p>
        </w:tc>
        <w:tc>
          <w:tcPr>
            <w:tcW w:w="1231" w:type="dxa"/>
          </w:tcPr>
          <w:p w14:paraId="726FD94F" w14:textId="58A5AA43" w:rsidR="00691905" w:rsidRPr="003D07A2" w:rsidRDefault="00691905" w:rsidP="00691905">
            <w:pPr>
              <w:jc w:val="center"/>
              <w:rPr>
                <w:rFonts w:cstheme="minorHAnsi"/>
              </w:rPr>
            </w:pPr>
            <w:r>
              <w:rPr>
                <w:rFonts w:cstheme="minorHAnsi"/>
              </w:rPr>
              <w:t>9</w:t>
            </w:r>
            <w:r w:rsidR="00142477">
              <w:rPr>
                <w:rFonts w:cstheme="minorHAnsi"/>
              </w:rPr>
              <w:t>13</w:t>
            </w:r>
            <w:r>
              <w:rPr>
                <w:rFonts w:cstheme="minorHAnsi"/>
              </w:rPr>
              <w:t>/8</w:t>
            </w:r>
            <w:r w:rsidR="00142477">
              <w:rPr>
                <w:rFonts w:cstheme="minorHAnsi"/>
              </w:rPr>
              <w:t>81</w:t>
            </w:r>
          </w:p>
        </w:tc>
        <w:tc>
          <w:tcPr>
            <w:tcW w:w="747" w:type="dxa"/>
          </w:tcPr>
          <w:p w14:paraId="47F0937A" w14:textId="77777777" w:rsidR="00691905" w:rsidRPr="003D07A2" w:rsidRDefault="00691905" w:rsidP="00691905">
            <w:pPr>
              <w:jc w:val="center"/>
              <w:rPr>
                <w:rFonts w:cstheme="minorHAnsi"/>
              </w:rPr>
            </w:pPr>
            <w:r w:rsidRPr="003D07A2">
              <w:rPr>
                <w:rFonts w:cstheme="minorHAnsi"/>
              </w:rPr>
              <w:t>x</w:t>
            </w:r>
          </w:p>
        </w:tc>
        <w:tc>
          <w:tcPr>
            <w:tcW w:w="872" w:type="dxa"/>
          </w:tcPr>
          <w:p w14:paraId="735678D2" w14:textId="3860622E" w:rsidR="00691905" w:rsidRPr="003D07A2" w:rsidRDefault="00691905" w:rsidP="00691905">
            <w:pPr>
              <w:jc w:val="center"/>
              <w:rPr>
                <w:rFonts w:cstheme="minorHAnsi"/>
              </w:rPr>
            </w:pPr>
            <w:r>
              <w:rPr>
                <w:rFonts w:cstheme="minorHAnsi"/>
              </w:rPr>
              <w:t>+</w:t>
            </w:r>
            <w:r w:rsidR="00B91966">
              <w:rPr>
                <w:rFonts w:cstheme="minorHAnsi"/>
              </w:rPr>
              <w:t>14</w:t>
            </w:r>
          </w:p>
        </w:tc>
        <w:tc>
          <w:tcPr>
            <w:tcW w:w="927" w:type="dxa"/>
          </w:tcPr>
          <w:p w14:paraId="576617C2" w14:textId="267EA75D" w:rsidR="00691905" w:rsidRPr="003D07A2" w:rsidRDefault="00691905" w:rsidP="00691905">
            <w:pPr>
              <w:jc w:val="center"/>
              <w:rPr>
                <w:rFonts w:cstheme="minorHAnsi"/>
              </w:rPr>
            </w:pPr>
            <w:r>
              <w:rPr>
                <w:rFonts w:cstheme="minorHAnsi"/>
              </w:rPr>
              <w:t>-</w:t>
            </w:r>
            <w:r w:rsidR="00FC1EA4">
              <w:rPr>
                <w:rFonts w:cstheme="minorHAnsi"/>
              </w:rPr>
              <w:t>17</w:t>
            </w:r>
          </w:p>
        </w:tc>
      </w:tr>
    </w:tbl>
    <w:p w14:paraId="3C4EC4ED" w14:textId="58C8AD12" w:rsidR="003A1BEE" w:rsidRPr="003D07A2" w:rsidRDefault="006E37EF" w:rsidP="003A1BEE">
      <w:pPr>
        <w:spacing w:before="100" w:beforeAutospacing="1" w:after="100" w:afterAutospacing="1"/>
        <w:jc w:val="both"/>
        <w:rPr>
          <w:rFonts w:cstheme="minorHAnsi"/>
        </w:rPr>
      </w:pPr>
      <w:r w:rsidRPr="003D07A2">
        <w:rPr>
          <w:rFonts w:cstheme="minorHAnsi"/>
        </w:rPr>
        <w:t>Salīdzinot ar normatīvajos dokumentos noteikto par darba samaksas apmēru gultu dienas tarifā</w:t>
      </w:r>
      <w:r w:rsidR="00B55614" w:rsidRPr="003D07A2">
        <w:rPr>
          <w:rFonts w:cstheme="minorHAnsi"/>
        </w:rPr>
        <w:t xml:space="preserve"> (MK not.Nr.555)</w:t>
      </w:r>
      <w:r w:rsidRPr="003D07A2">
        <w:rPr>
          <w:rFonts w:cstheme="minorHAnsi"/>
        </w:rPr>
        <w:t xml:space="preserve"> – Sabiedrība nodrošinājusi </w:t>
      </w:r>
      <w:r w:rsidR="00536756">
        <w:rPr>
          <w:rFonts w:cstheme="minorHAnsi"/>
        </w:rPr>
        <w:t xml:space="preserve">( bez </w:t>
      </w:r>
      <w:proofErr w:type="spellStart"/>
      <w:r w:rsidR="00536756">
        <w:rPr>
          <w:rFonts w:cstheme="minorHAnsi"/>
        </w:rPr>
        <w:t>covid</w:t>
      </w:r>
      <w:proofErr w:type="spellEnd"/>
      <w:r w:rsidR="00536756">
        <w:rPr>
          <w:rFonts w:cstheme="minorHAnsi"/>
        </w:rPr>
        <w:t xml:space="preserve"> piemaksām) </w:t>
      </w:r>
      <w:r w:rsidRPr="003D07A2">
        <w:rPr>
          <w:rFonts w:cstheme="minorHAnsi"/>
        </w:rPr>
        <w:t xml:space="preserve">izmaksu ārstu kategorijā </w:t>
      </w:r>
      <w:r w:rsidR="00670C29" w:rsidRPr="003D07A2">
        <w:rPr>
          <w:rFonts w:cstheme="minorHAnsi"/>
        </w:rPr>
        <w:t>+</w:t>
      </w:r>
      <w:r w:rsidR="001C6736">
        <w:rPr>
          <w:rFonts w:cstheme="minorHAnsi"/>
        </w:rPr>
        <w:t>546</w:t>
      </w:r>
      <w:r w:rsidR="00670C29"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w:t>
      </w:r>
      <w:r w:rsidR="00670C29" w:rsidRPr="003D07A2">
        <w:rPr>
          <w:rFonts w:cstheme="minorHAnsi"/>
        </w:rPr>
        <w:t>+</w:t>
      </w:r>
      <w:r w:rsidR="00432D5C">
        <w:rPr>
          <w:rFonts w:cstheme="minorHAnsi"/>
        </w:rPr>
        <w:t>429</w:t>
      </w:r>
      <w:r w:rsidRPr="003D07A2">
        <w:rPr>
          <w:rFonts w:cstheme="minorHAnsi"/>
        </w:rPr>
        <w:t xml:space="preserve"> </w:t>
      </w:r>
      <w:proofErr w:type="spellStart"/>
      <w:r w:rsidR="00670C29" w:rsidRPr="003D07A2">
        <w:rPr>
          <w:rFonts w:cstheme="minorHAnsi"/>
        </w:rPr>
        <w:t>euro</w:t>
      </w:r>
      <w:proofErr w:type="spellEnd"/>
      <w:r w:rsidRPr="003D07A2">
        <w:rPr>
          <w:rFonts w:cstheme="minorHAnsi"/>
        </w:rPr>
        <w:t xml:space="preserve">; māsu palīgu </w:t>
      </w:r>
      <w:r w:rsidR="00670C29" w:rsidRPr="003D07A2">
        <w:rPr>
          <w:rFonts w:cstheme="minorHAnsi"/>
        </w:rPr>
        <w:t>+</w:t>
      </w:r>
      <w:r w:rsidR="00432D5C">
        <w:rPr>
          <w:rFonts w:cstheme="minorHAnsi"/>
        </w:rPr>
        <w:t>217</w:t>
      </w:r>
      <w:r w:rsidR="00670C29" w:rsidRPr="003D07A2">
        <w:rPr>
          <w:rFonts w:cstheme="minorHAnsi"/>
        </w:rPr>
        <w:t xml:space="preserve"> </w:t>
      </w:r>
      <w:proofErr w:type="spellStart"/>
      <w:r w:rsidR="00670C29" w:rsidRPr="003D07A2">
        <w:rPr>
          <w:rFonts w:cstheme="minorHAnsi"/>
        </w:rPr>
        <w:t>euro</w:t>
      </w:r>
      <w:proofErr w:type="spellEnd"/>
      <w:r w:rsidR="00670C29" w:rsidRPr="003D07A2">
        <w:rPr>
          <w:rFonts w:cstheme="minorHAnsi"/>
        </w:rPr>
        <w:t xml:space="preserve"> vairāk.</w:t>
      </w:r>
      <w:r w:rsidR="00B55614" w:rsidRPr="003D07A2">
        <w:rPr>
          <w:rFonts w:cstheme="minorHAnsi"/>
        </w:rPr>
        <w:t xml:space="preserve"> Salīdzinot ar normatīvo dokumentu par ārstniecības personu zemāko mēnešalgu (MK not.Nr.851)</w:t>
      </w:r>
      <w:r w:rsidR="00712DD6" w:rsidRPr="003D07A2">
        <w:rPr>
          <w:rFonts w:cstheme="minorHAnsi"/>
        </w:rPr>
        <w:t xml:space="preserve"> – </w:t>
      </w:r>
      <w:r w:rsidR="003A1BEE" w:rsidRPr="003D07A2">
        <w:rPr>
          <w:rFonts w:cstheme="minorHAnsi"/>
        </w:rPr>
        <w:t>ārstiem +</w:t>
      </w:r>
      <w:r w:rsidR="003A1BEE">
        <w:rPr>
          <w:rFonts w:cstheme="minorHAnsi"/>
        </w:rPr>
        <w:t>868</w:t>
      </w:r>
      <w:r w:rsidR="003A1BEE" w:rsidRPr="003D07A2">
        <w:rPr>
          <w:rFonts w:cstheme="minorHAnsi"/>
        </w:rPr>
        <w:t xml:space="preserve"> </w:t>
      </w:r>
      <w:proofErr w:type="spellStart"/>
      <w:r w:rsidR="003A1BEE" w:rsidRPr="003D07A2">
        <w:rPr>
          <w:rFonts w:cstheme="minorHAnsi"/>
        </w:rPr>
        <w:t>euro</w:t>
      </w:r>
      <w:proofErr w:type="spellEnd"/>
      <w:r w:rsidR="003A1BEE" w:rsidRPr="003D07A2">
        <w:rPr>
          <w:rFonts w:cstheme="minorHAnsi"/>
        </w:rPr>
        <w:t>; māsas +</w:t>
      </w:r>
      <w:r w:rsidR="003A1BEE">
        <w:rPr>
          <w:rFonts w:cstheme="minorHAnsi"/>
        </w:rPr>
        <w:t>516</w:t>
      </w:r>
      <w:r w:rsidR="003A1BEE" w:rsidRPr="003D07A2">
        <w:rPr>
          <w:rFonts w:cstheme="minorHAnsi"/>
        </w:rPr>
        <w:t xml:space="preserve"> </w:t>
      </w:r>
      <w:proofErr w:type="spellStart"/>
      <w:r w:rsidR="003A1BEE" w:rsidRPr="003D07A2">
        <w:rPr>
          <w:rFonts w:cstheme="minorHAnsi"/>
        </w:rPr>
        <w:t>euro</w:t>
      </w:r>
      <w:proofErr w:type="spellEnd"/>
      <w:r w:rsidR="003A1BEE" w:rsidRPr="003D07A2">
        <w:rPr>
          <w:rFonts w:cstheme="minorHAnsi"/>
        </w:rPr>
        <w:t>, māsu palīgi +</w:t>
      </w:r>
      <w:r w:rsidR="003A1BEE">
        <w:rPr>
          <w:rFonts w:cstheme="minorHAnsi"/>
        </w:rPr>
        <w:t>197</w:t>
      </w:r>
      <w:r w:rsidR="003A1BEE" w:rsidRPr="003D07A2">
        <w:rPr>
          <w:rFonts w:cstheme="minorHAnsi"/>
        </w:rPr>
        <w:t xml:space="preserve"> </w:t>
      </w:r>
      <w:proofErr w:type="spellStart"/>
      <w:r w:rsidR="003A1BEE" w:rsidRPr="003D07A2">
        <w:rPr>
          <w:rFonts w:cstheme="minorHAnsi"/>
        </w:rPr>
        <w:t>euro</w:t>
      </w:r>
      <w:proofErr w:type="spellEnd"/>
      <w:r w:rsidR="003A1BEE" w:rsidRPr="003D07A2">
        <w:rPr>
          <w:rFonts w:cstheme="minorHAnsi"/>
        </w:rPr>
        <w:t>.</w:t>
      </w:r>
    </w:p>
    <w:p w14:paraId="2CFC295D" w14:textId="34E58B92" w:rsidR="00670C29" w:rsidRPr="003D07A2" w:rsidRDefault="00B55614" w:rsidP="00712DD6">
      <w:pPr>
        <w:spacing w:before="100" w:beforeAutospacing="1" w:after="100" w:afterAutospacing="1"/>
        <w:jc w:val="both"/>
        <w:rPr>
          <w:rFonts w:cstheme="minorHAnsi"/>
        </w:rPr>
      </w:pPr>
      <w:r w:rsidRPr="003D07A2">
        <w:rPr>
          <w:rFonts w:cstheme="minorHAnsi"/>
        </w:rPr>
        <w:t>M</w:t>
      </w:r>
      <w:r w:rsidR="00670C29" w:rsidRPr="003D07A2">
        <w:rPr>
          <w:rFonts w:cstheme="minorHAnsi"/>
        </w:rPr>
        <w:t>āsu darba samaksa sasniedz 6</w:t>
      </w:r>
      <w:r w:rsidR="001E740D">
        <w:rPr>
          <w:rFonts w:cstheme="minorHAnsi"/>
        </w:rPr>
        <w:t>4</w:t>
      </w:r>
      <w:r w:rsidR="00670C29" w:rsidRPr="003D07A2">
        <w:rPr>
          <w:rFonts w:cstheme="minorHAnsi"/>
        </w:rPr>
        <w:t xml:space="preserve"> % no ārsta darba apmaksas un māsu palīgiem tiek nodrošināta darba samaksa </w:t>
      </w:r>
      <w:r w:rsidR="0054099A">
        <w:rPr>
          <w:rFonts w:cstheme="minorHAnsi"/>
        </w:rPr>
        <w:t>38</w:t>
      </w:r>
      <w:r w:rsidR="00670C29" w:rsidRPr="003D07A2">
        <w:rPr>
          <w:rFonts w:cstheme="minorHAnsi"/>
        </w:rPr>
        <w:t>% no ārstu darba samaksas.</w:t>
      </w:r>
    </w:p>
    <w:p w14:paraId="60CB93E0" w14:textId="77777777" w:rsidR="008D79D0" w:rsidRPr="003D07A2" w:rsidRDefault="008D79D0" w:rsidP="008D79D0">
      <w:pPr>
        <w:spacing w:after="0"/>
        <w:rPr>
          <w:rFonts w:cstheme="minorHAnsi"/>
          <w:b/>
          <w:bCs/>
        </w:rPr>
      </w:pPr>
      <w:bookmarkStart w:id="0" w:name="_Hlk70341704"/>
      <w:r w:rsidRPr="003D07A2">
        <w:rPr>
          <w:rFonts w:cstheme="minorHAnsi"/>
          <w:b/>
          <w:bCs/>
        </w:rPr>
        <w:t>Izglītība un zinātniskā darbība</w:t>
      </w:r>
    </w:p>
    <w:p w14:paraId="7CF4CFF6" w14:textId="203F02AC" w:rsidR="00E24E30" w:rsidRPr="003D07A2" w:rsidRDefault="003B7B57" w:rsidP="00712DD6">
      <w:pPr>
        <w:spacing w:before="100" w:beforeAutospacing="1" w:after="100" w:afterAutospacing="1"/>
        <w:jc w:val="both"/>
        <w:rPr>
          <w:rFonts w:cstheme="minorHAnsi"/>
        </w:rPr>
      </w:pPr>
      <w:r w:rsidRPr="003D07A2">
        <w:rPr>
          <w:rFonts w:cstheme="minorHAnsi"/>
        </w:rPr>
        <w:t>Pārskata periodā Sabiedrībā rezidentūru īsteno 1</w:t>
      </w:r>
      <w:r w:rsidR="000F64FC">
        <w:rPr>
          <w:rFonts w:cstheme="minorHAnsi"/>
        </w:rPr>
        <w:t>5</w:t>
      </w:r>
      <w:r w:rsidRPr="003D07A2">
        <w:rPr>
          <w:rFonts w:cstheme="minorHAnsi"/>
        </w:rPr>
        <w:t xml:space="preserve"> rezidenti </w:t>
      </w:r>
      <w:r w:rsidR="00086188" w:rsidRPr="003D07A2">
        <w:rPr>
          <w:rFonts w:cstheme="minorHAnsi"/>
        </w:rPr>
        <w:t>studiju programmās</w:t>
      </w:r>
      <w:r w:rsidR="00E36CCA">
        <w:rPr>
          <w:rFonts w:cstheme="minorHAnsi"/>
        </w:rPr>
        <w:t xml:space="preserve"> -</w:t>
      </w:r>
      <w:r w:rsidR="00086188" w:rsidRPr="003D07A2">
        <w:rPr>
          <w:rFonts w:cstheme="minorHAnsi"/>
        </w:rPr>
        <w:t xml:space="preserve"> “Psihiatrija”, “Tiesu psihiatrijas eksperts”</w:t>
      </w:r>
      <w:r w:rsidR="000F64FC">
        <w:rPr>
          <w:rFonts w:cstheme="minorHAnsi"/>
        </w:rPr>
        <w:t>-1</w:t>
      </w:r>
      <w:r w:rsidR="00086188" w:rsidRPr="003D07A2">
        <w:rPr>
          <w:rFonts w:cstheme="minorHAnsi"/>
        </w:rPr>
        <w:t>, “Bērnu psihiatrija”</w:t>
      </w:r>
      <w:r w:rsidR="000F64FC">
        <w:rPr>
          <w:rFonts w:cstheme="minorHAnsi"/>
        </w:rPr>
        <w:t>-3, “Narkoloģija” -1</w:t>
      </w:r>
      <w:r w:rsidR="00086188" w:rsidRPr="003D07A2">
        <w:rPr>
          <w:rFonts w:cstheme="minorHAnsi"/>
        </w:rPr>
        <w:t xml:space="preserve">. </w:t>
      </w:r>
      <w:r w:rsidR="00226245" w:rsidRPr="003D07A2">
        <w:rPr>
          <w:rFonts w:cstheme="minorHAnsi"/>
        </w:rPr>
        <w:t>Līgumi par rezidentu apmācību valsts budžeta finansētās rezidentūras vietās Sabiedrībai noslēgti ar Rīgas Stradiņa universitāti</w:t>
      </w:r>
      <w:r w:rsidR="000421E2">
        <w:rPr>
          <w:rFonts w:cstheme="minorHAnsi"/>
        </w:rPr>
        <w:t xml:space="preserve"> (12)</w:t>
      </w:r>
      <w:r w:rsidR="00226245" w:rsidRPr="003D07A2">
        <w:rPr>
          <w:rFonts w:cstheme="minorHAnsi"/>
        </w:rPr>
        <w:t xml:space="preserve"> un Latvijas Universitāti</w:t>
      </w:r>
      <w:r w:rsidR="000421E2">
        <w:rPr>
          <w:rFonts w:cstheme="minorHAnsi"/>
        </w:rPr>
        <w:t xml:space="preserve"> (3)</w:t>
      </w:r>
      <w:r w:rsidR="00226245" w:rsidRPr="003D07A2">
        <w:rPr>
          <w:rFonts w:cstheme="minorHAnsi"/>
        </w:rPr>
        <w:t xml:space="preserve">. </w:t>
      </w:r>
      <w:r w:rsidR="000421E2">
        <w:rPr>
          <w:rFonts w:cstheme="minorHAnsi"/>
        </w:rPr>
        <w:t>Tai skaitā divi rezidenti izmanto akadēmisko atvaļinājumu.</w:t>
      </w:r>
    </w:p>
    <w:p w14:paraId="56DB1D88" w14:textId="7C5FA02F" w:rsidR="009C4FFD" w:rsidRDefault="003B7B57" w:rsidP="00712DD6">
      <w:pPr>
        <w:spacing w:before="100" w:beforeAutospacing="1" w:after="100" w:afterAutospacing="1"/>
        <w:jc w:val="both"/>
        <w:rPr>
          <w:rFonts w:cstheme="minorHAnsi"/>
        </w:rPr>
      </w:pPr>
      <w:r w:rsidRPr="003D07A2">
        <w:rPr>
          <w:rFonts w:cstheme="minorHAnsi"/>
        </w:rPr>
        <w:t>Jauno ārstu profesionālo spēju attīstīšanai, Sabiedrība rezidentiem dod iespēju papildināt zināšanas un prasmes darbā ar pacientu, pacienta tuviniekiem</w:t>
      </w:r>
      <w:r w:rsidR="009C4FFD" w:rsidRPr="003D07A2">
        <w:rPr>
          <w:rFonts w:cstheme="minorHAnsi"/>
        </w:rPr>
        <w:t>, un piedalīties pacientu tuvinieku izglītošanā par slimību, tās ārstēšanu, par slimības risku un citiem kaitīgiem faktoriem</w:t>
      </w:r>
      <w:r w:rsidR="002138EC" w:rsidRPr="003D07A2">
        <w:rPr>
          <w:rFonts w:cstheme="minorHAnsi"/>
        </w:rPr>
        <w:t xml:space="preserve"> (</w:t>
      </w:r>
      <w:proofErr w:type="spellStart"/>
      <w:r w:rsidR="002138EC" w:rsidRPr="003D07A2">
        <w:rPr>
          <w:rFonts w:cstheme="minorHAnsi"/>
        </w:rPr>
        <w:t>psihoedukācija</w:t>
      </w:r>
      <w:proofErr w:type="spellEnd"/>
      <w:r w:rsidR="002138EC" w:rsidRPr="003D07A2">
        <w:rPr>
          <w:rFonts w:cstheme="minorHAnsi"/>
        </w:rPr>
        <w:t>)</w:t>
      </w:r>
      <w:r w:rsidR="009C4FFD" w:rsidRPr="003D07A2">
        <w:rPr>
          <w:rFonts w:cstheme="minorHAnsi"/>
        </w:rPr>
        <w:t>.</w:t>
      </w:r>
      <w:r w:rsidRPr="003D07A2">
        <w:rPr>
          <w:rFonts w:cstheme="minorHAnsi"/>
        </w:rPr>
        <w:t xml:space="preserve"> </w:t>
      </w:r>
      <w:r w:rsidR="009C4FFD" w:rsidRPr="003D07A2">
        <w:rPr>
          <w:rFonts w:cstheme="minorHAnsi"/>
        </w:rPr>
        <w:t xml:space="preserve">Jaunie ārsti aktīvi piedalās </w:t>
      </w:r>
      <w:r w:rsidRPr="003D07A2">
        <w:rPr>
          <w:rFonts w:cstheme="minorHAnsi"/>
        </w:rPr>
        <w:t>zinātnisku</w:t>
      </w:r>
      <w:r w:rsidR="008B3225" w:rsidRPr="003D07A2">
        <w:rPr>
          <w:rFonts w:cstheme="minorHAnsi"/>
        </w:rPr>
        <w:t xml:space="preserve"> </w:t>
      </w:r>
      <w:r w:rsidRPr="003D07A2">
        <w:rPr>
          <w:rFonts w:cstheme="minorHAnsi"/>
        </w:rPr>
        <w:t>materiālu sagatavošan</w:t>
      </w:r>
      <w:r w:rsidR="009C4FFD" w:rsidRPr="003D07A2">
        <w:rPr>
          <w:rFonts w:cstheme="minorHAnsi"/>
        </w:rPr>
        <w:t xml:space="preserve">ā </w:t>
      </w:r>
      <w:r w:rsidRPr="003D07A2">
        <w:rPr>
          <w:rFonts w:cstheme="minorHAnsi"/>
        </w:rPr>
        <w:t xml:space="preserve">un </w:t>
      </w:r>
      <w:r w:rsidR="009C4FFD" w:rsidRPr="003D07A2">
        <w:rPr>
          <w:rFonts w:cstheme="minorHAnsi"/>
        </w:rPr>
        <w:t>lekciju īstenošanā</w:t>
      </w:r>
      <w:r w:rsidR="008B3225" w:rsidRPr="003D07A2">
        <w:rPr>
          <w:rFonts w:cstheme="minorHAnsi"/>
        </w:rPr>
        <w:t xml:space="preserve"> </w:t>
      </w:r>
      <w:r w:rsidR="009C4FFD" w:rsidRPr="003D07A2">
        <w:rPr>
          <w:rFonts w:cstheme="minorHAnsi"/>
        </w:rPr>
        <w:t xml:space="preserve">dažādu projektu ietvaros </w:t>
      </w:r>
      <w:r w:rsidR="00712DD6" w:rsidRPr="003D07A2">
        <w:rPr>
          <w:rFonts w:cstheme="minorHAnsi"/>
        </w:rPr>
        <w:t xml:space="preserve">– </w:t>
      </w:r>
      <w:r w:rsidR="009C4FFD" w:rsidRPr="003D07A2">
        <w:rPr>
          <w:rFonts w:cstheme="minorHAnsi"/>
        </w:rPr>
        <w:t>pašvaldību speciālistiem, Jelgavas pilsētas iedzīvotājiem un skolēniem, kā arī slimnīcas “</w:t>
      </w:r>
      <w:proofErr w:type="spellStart"/>
      <w:r w:rsidR="009C4FFD" w:rsidRPr="003D07A2">
        <w:rPr>
          <w:rFonts w:cstheme="minorHAnsi"/>
        </w:rPr>
        <w:t>Ģintermuižas</w:t>
      </w:r>
      <w:proofErr w:type="spellEnd"/>
      <w:r w:rsidR="009C4FFD" w:rsidRPr="003D07A2">
        <w:rPr>
          <w:rFonts w:cstheme="minorHAnsi"/>
        </w:rPr>
        <w:t xml:space="preserve">” ārstu konferencēs. </w:t>
      </w:r>
    </w:p>
    <w:p w14:paraId="4661B28C" w14:textId="28B4C112" w:rsidR="00C20AAA" w:rsidRPr="006D4872" w:rsidRDefault="00C20AAA" w:rsidP="00C20AAA">
      <w:pPr>
        <w:shd w:val="clear" w:color="auto" w:fill="FFFFFF"/>
        <w:spacing w:before="100" w:beforeAutospacing="1" w:after="100" w:afterAutospacing="1" w:line="240" w:lineRule="auto"/>
        <w:jc w:val="both"/>
      </w:pPr>
      <w:r w:rsidRPr="006D4872">
        <w:t xml:space="preserve">Darbinieku izglītošana notiek </w:t>
      </w:r>
      <w:r>
        <w:t xml:space="preserve">vairākos </w:t>
      </w:r>
      <w:r w:rsidRPr="006D4872">
        <w:t>virzienos:</w:t>
      </w:r>
    </w:p>
    <w:p w14:paraId="2D0B8CA3" w14:textId="77777777" w:rsidR="00C20AAA" w:rsidRPr="00C20AAA" w:rsidRDefault="00C20AAA" w:rsidP="00C20AAA">
      <w:pPr>
        <w:pStyle w:val="Sarakstarindkopa"/>
        <w:numPr>
          <w:ilvl w:val="0"/>
          <w:numId w:val="6"/>
        </w:numPr>
        <w:shd w:val="clear" w:color="auto" w:fill="FFFFFF"/>
        <w:spacing w:before="100" w:beforeAutospacing="1" w:after="100" w:afterAutospacing="1" w:line="240" w:lineRule="auto"/>
        <w:jc w:val="both"/>
        <w:rPr>
          <w:rFonts w:cstheme="minorHAnsi"/>
        </w:rPr>
      </w:pPr>
      <w:r w:rsidRPr="00C20AAA">
        <w:rPr>
          <w:rFonts w:cstheme="minorHAnsi"/>
        </w:rPr>
        <w:t xml:space="preserve">Darbinieku izglītošana kvalifikācijas uzturēšanai un pilnveidei.  22. februārī un 1. martā MS TEAMS platformā notika tālākizglītības seminārs “Saskarsmes kvalitātes pilnveidošana pacientu aprūpē”. 7. aprīlī tika organizēti tālākizglītības kursi </w:t>
      </w:r>
      <w:proofErr w:type="spellStart"/>
      <w:r w:rsidRPr="00C20AAA">
        <w:rPr>
          <w:rFonts w:cstheme="minorHAnsi"/>
        </w:rPr>
        <w:t>On-line</w:t>
      </w:r>
      <w:proofErr w:type="spellEnd"/>
      <w:r w:rsidRPr="00C20AAA">
        <w:rPr>
          <w:rFonts w:cstheme="minorHAnsi"/>
        </w:rPr>
        <w:t xml:space="preserve"> vidē: “Pacelšanas līdzekļu izmantošana pacientu aprūpē” māsas palīgiem un aprūpētājiem un citiem veselības un sociālās aprūpes procesā iesaistītiem interesentiem;</w:t>
      </w:r>
    </w:p>
    <w:p w14:paraId="2F1F12A5" w14:textId="77777777" w:rsidR="00C20AAA" w:rsidRPr="00C20AAA" w:rsidRDefault="00C20AAA" w:rsidP="00C20AAA">
      <w:pPr>
        <w:pStyle w:val="Sarakstarindkopa"/>
        <w:numPr>
          <w:ilvl w:val="0"/>
          <w:numId w:val="6"/>
        </w:numPr>
        <w:shd w:val="clear" w:color="auto" w:fill="FFFFFF"/>
        <w:spacing w:before="100" w:beforeAutospacing="1" w:after="100" w:afterAutospacing="1" w:line="240" w:lineRule="auto"/>
        <w:jc w:val="both"/>
        <w:rPr>
          <w:rFonts w:cstheme="minorHAnsi"/>
          <w:b/>
          <w:bCs/>
          <w:sz w:val="24"/>
          <w:szCs w:val="24"/>
        </w:rPr>
      </w:pPr>
      <w:r w:rsidRPr="00C20AAA">
        <w:rPr>
          <w:sz w:val="24"/>
          <w:szCs w:val="24"/>
        </w:rPr>
        <w:t xml:space="preserve">18.02.2022. un 25.02.2022. sadarbībā ar LU Rīgas 1. medicīnas koledža, Arodizglītības programmu nodaļu notika attālināti kursi māsas palīgiem un aprūpētājiem “Dzīvībai svarīgo rādītāju noteikšana” </w:t>
      </w:r>
    </w:p>
    <w:p w14:paraId="561B1E14" w14:textId="49484AF6" w:rsidR="00C20AAA" w:rsidRPr="00C20AAA" w:rsidRDefault="00C20AAA" w:rsidP="00C20AAA">
      <w:pPr>
        <w:pStyle w:val="Sarakstarindkopa"/>
        <w:numPr>
          <w:ilvl w:val="0"/>
          <w:numId w:val="6"/>
        </w:numPr>
        <w:shd w:val="clear" w:color="auto" w:fill="FFFFFF"/>
        <w:spacing w:before="100" w:beforeAutospacing="1" w:after="100" w:afterAutospacing="1" w:line="276" w:lineRule="auto"/>
        <w:jc w:val="both"/>
        <w:rPr>
          <w:rFonts w:cstheme="minorHAnsi"/>
        </w:rPr>
      </w:pPr>
      <w:r w:rsidRPr="00C20AAA">
        <w:rPr>
          <w:rFonts w:cstheme="minorHAnsi"/>
        </w:rPr>
        <w:t xml:space="preserve">2021./22. mācību gadā sadarbībā ar Latvijas Universitātes Rīgas 1. medicīnas koledžu VSIA “Slimnīcā “Ģintermuiža”” mācības Arodizglītības programmā – “Māsas palīgs” uzsāka </w:t>
      </w:r>
      <w:r w:rsidR="003D501A">
        <w:rPr>
          <w:rFonts w:cstheme="minorHAnsi"/>
        </w:rPr>
        <w:t xml:space="preserve">un pabeidza </w:t>
      </w:r>
      <w:r w:rsidRPr="00C20AAA">
        <w:rPr>
          <w:rFonts w:cstheme="minorHAnsi"/>
        </w:rPr>
        <w:t>18 mūsu un 14 citu ārstniecības iestāžu darbinieki.</w:t>
      </w:r>
    </w:p>
    <w:p w14:paraId="695DD2CF" w14:textId="07A41DD1" w:rsidR="00C20AAA" w:rsidRPr="00C20AAA" w:rsidRDefault="00C20AAA" w:rsidP="00C20AAA">
      <w:pPr>
        <w:pStyle w:val="Sarakstarindkopa"/>
        <w:numPr>
          <w:ilvl w:val="0"/>
          <w:numId w:val="6"/>
        </w:numPr>
        <w:shd w:val="clear" w:color="auto" w:fill="FFFFFF"/>
        <w:spacing w:before="100" w:beforeAutospacing="1" w:after="100" w:afterAutospacing="1" w:line="276" w:lineRule="auto"/>
        <w:jc w:val="both"/>
        <w:rPr>
          <w:rFonts w:cstheme="minorHAnsi"/>
        </w:rPr>
      </w:pPr>
      <w:r w:rsidRPr="00C20AAA">
        <w:rPr>
          <w:rFonts w:cstheme="minorHAnsi"/>
        </w:rPr>
        <w:t>Ar Biedrība “Latvijas darba devēju konfederāciju” š. g. 8. martā tika noslēgts sadarbības līgums Nr. SAM 8.5.1./6-12.1.3./3322 par Darbības programmas “Izaugsme un nodarbinātība” 8.5.1. specifiskā atbalsta mērķa “palielināt kvalificētu profesionālās izglītības iestāžu audzēkņu skaitu pēc to dalības darba vidē balstītās mācībās vai mācību praksē uzņēmumā” īstenošanu. Projekta finansētājs ir Eiropas Sociālais fonds. Projekta ietvaros 14. martā mācību praksi iestādē realizē</w:t>
      </w:r>
      <w:r w:rsidR="00BD227B">
        <w:rPr>
          <w:rFonts w:cstheme="minorHAnsi"/>
        </w:rPr>
        <w:t>ja</w:t>
      </w:r>
      <w:r w:rsidRPr="00C20AAA">
        <w:rPr>
          <w:rFonts w:cstheme="minorHAnsi"/>
        </w:rPr>
        <w:t xml:space="preserve"> 16 LU Rīgas 1. medicīnas koledžas audzēkņi.</w:t>
      </w:r>
    </w:p>
    <w:p w14:paraId="33D48B1E" w14:textId="5D43F32A" w:rsidR="006159D9" w:rsidRDefault="006159D9" w:rsidP="00712DD6">
      <w:pPr>
        <w:spacing w:before="100" w:beforeAutospacing="1" w:after="100" w:afterAutospacing="1"/>
        <w:jc w:val="both"/>
        <w:rPr>
          <w:rFonts w:cstheme="minorHAnsi"/>
        </w:rPr>
      </w:pPr>
      <w:r w:rsidRPr="003D07A2">
        <w:rPr>
          <w:rFonts w:cstheme="minorHAnsi"/>
        </w:rPr>
        <w:t xml:space="preserve">Kapitālsabiedrībā ESF projekta ietvaros, darbības programmas “Izaugsme un nodarbinātība” 9.2.5. specifiskā atbalsta mērķa “Uzlabot pieejamību ārstniecības un ārstniecības atbalsta personām, kas sniedz pakalpojumus prioritārajās veselības jomās iedzīvotājiem, kas dzīvo ārpus Rīgas” īstenošanā, atbalstu ir saņēmušas </w:t>
      </w:r>
      <w:r w:rsidR="0027263A">
        <w:rPr>
          <w:rFonts w:cstheme="minorHAnsi"/>
        </w:rPr>
        <w:t>56</w:t>
      </w:r>
      <w:r w:rsidRPr="003D07A2">
        <w:rPr>
          <w:rFonts w:cstheme="minorHAnsi"/>
        </w:rPr>
        <w:t xml:space="preserve"> ārstniecības personas</w:t>
      </w:r>
      <w:r w:rsidR="0027263A">
        <w:rPr>
          <w:rFonts w:cstheme="minorHAnsi"/>
        </w:rPr>
        <w:t xml:space="preserve">, tai skaitā 4 </w:t>
      </w:r>
      <w:r w:rsidR="00B30ADC">
        <w:rPr>
          <w:rFonts w:cstheme="minorHAnsi"/>
        </w:rPr>
        <w:t>ā</w:t>
      </w:r>
      <w:r w:rsidR="0027263A">
        <w:rPr>
          <w:rFonts w:cstheme="minorHAnsi"/>
        </w:rPr>
        <w:t>rsti, 15 māsas</w:t>
      </w:r>
      <w:r w:rsidR="00B30ADC">
        <w:rPr>
          <w:rFonts w:cstheme="minorHAnsi"/>
        </w:rPr>
        <w:t xml:space="preserve"> un 37 māsu palīgi</w:t>
      </w:r>
      <w:r w:rsidR="004B4C65">
        <w:rPr>
          <w:rFonts w:cstheme="minorHAnsi"/>
        </w:rPr>
        <w:t>.</w:t>
      </w:r>
    </w:p>
    <w:p w14:paraId="6021318C" w14:textId="6BDC179C" w:rsidR="0034762E" w:rsidRPr="00AD1C18" w:rsidRDefault="0034762E" w:rsidP="0034762E">
      <w:pPr>
        <w:rPr>
          <w:rFonts w:cstheme="minorHAnsi"/>
          <w:b/>
          <w:bCs/>
        </w:rPr>
      </w:pPr>
      <w:proofErr w:type="spellStart"/>
      <w:r w:rsidRPr="00AD1C18">
        <w:rPr>
          <w:rFonts w:cstheme="minorHAnsi"/>
          <w:b/>
          <w:bCs/>
        </w:rPr>
        <w:t>Psihoemocionālā</w:t>
      </w:r>
      <w:r w:rsidR="00D62D6B" w:rsidRPr="00AD1C18">
        <w:rPr>
          <w:rFonts w:cstheme="minorHAnsi"/>
          <w:b/>
          <w:bCs/>
        </w:rPr>
        <w:t>s</w:t>
      </w:r>
      <w:proofErr w:type="spellEnd"/>
      <w:r w:rsidR="00D62D6B" w:rsidRPr="00AD1C18">
        <w:rPr>
          <w:rFonts w:cstheme="minorHAnsi"/>
          <w:b/>
          <w:bCs/>
        </w:rPr>
        <w:t xml:space="preserve"> veselības veicināšana darbiniekiem</w:t>
      </w:r>
    </w:p>
    <w:p w14:paraId="02710056" w14:textId="3FD16BCB" w:rsidR="0034762E" w:rsidRPr="00AD1C18" w:rsidRDefault="0034762E" w:rsidP="00AD1C18">
      <w:pPr>
        <w:jc w:val="both"/>
        <w:rPr>
          <w:rFonts w:cstheme="minorHAnsi"/>
        </w:rPr>
      </w:pPr>
      <w:proofErr w:type="spellStart"/>
      <w:r w:rsidRPr="00AD1C18">
        <w:rPr>
          <w:rFonts w:cstheme="minorHAnsi"/>
        </w:rPr>
        <w:t>Psihoemocionālās</w:t>
      </w:r>
      <w:proofErr w:type="spellEnd"/>
      <w:r w:rsidRPr="00AD1C18">
        <w:rPr>
          <w:rFonts w:cstheme="minorHAnsi"/>
        </w:rPr>
        <w:t xml:space="preserve"> veselības veicināšanas projekta iesākumā, kā arī visa projekta laikā notiek individuālās tikšanās ar slimnīcas nodaļu un administrācijas struktūrvienību vadītājiem, lai pārrunātu aktuālos jautājumus par organizācijas kultūru, nodaļas/struktūrvienības iekšējo darba atmosfēru, emocionālās vajadzības, krīzes situācijas, </w:t>
      </w:r>
      <w:proofErr w:type="spellStart"/>
      <w:r w:rsidRPr="00AD1C18">
        <w:rPr>
          <w:rFonts w:cstheme="minorHAnsi"/>
        </w:rPr>
        <w:t>problēmjautājumus</w:t>
      </w:r>
      <w:proofErr w:type="spellEnd"/>
      <w:r w:rsidRPr="00AD1C18">
        <w:rPr>
          <w:rFonts w:cstheme="minorHAnsi"/>
        </w:rPr>
        <w:t>, u.c.</w:t>
      </w:r>
    </w:p>
    <w:p w14:paraId="4426A3E8" w14:textId="77777777" w:rsidR="0034762E" w:rsidRPr="00AD1C18" w:rsidRDefault="0034762E" w:rsidP="00AD1C18">
      <w:pPr>
        <w:jc w:val="both"/>
        <w:rPr>
          <w:rFonts w:cstheme="minorHAnsi"/>
        </w:rPr>
      </w:pPr>
      <w:r w:rsidRPr="00AD1C18">
        <w:rPr>
          <w:rFonts w:cstheme="minorHAnsi"/>
        </w:rPr>
        <w:t>Lai sniegtu atbalstu ikdienā, kā arī ārkārtas/krīzes situācijās, darbiniekiem ir pieejams psihologs, kurš tiekas ar kolēģiem.</w:t>
      </w:r>
    </w:p>
    <w:p w14:paraId="196ACBC2" w14:textId="77777777" w:rsidR="0034762E" w:rsidRPr="00AD1C18" w:rsidRDefault="0034762E" w:rsidP="00AD1C18">
      <w:pPr>
        <w:jc w:val="both"/>
        <w:rPr>
          <w:rFonts w:cstheme="minorHAnsi"/>
        </w:rPr>
      </w:pPr>
    </w:p>
    <w:p w14:paraId="31179F1A" w14:textId="77777777" w:rsidR="0034762E" w:rsidRPr="00AD1C18" w:rsidRDefault="0034762E" w:rsidP="00AD1C18">
      <w:pPr>
        <w:jc w:val="both"/>
        <w:rPr>
          <w:rFonts w:cstheme="minorHAnsi"/>
        </w:rPr>
      </w:pPr>
      <w:r w:rsidRPr="00AD1C18">
        <w:rPr>
          <w:rFonts w:cstheme="minorHAnsi"/>
        </w:rPr>
        <w:t xml:space="preserve">Šajā laika periodā tika izstrādātas 5 aptaujas dažādām darbinieku mērķauditorijām: </w:t>
      </w:r>
    </w:p>
    <w:p w14:paraId="723F892D" w14:textId="77777777" w:rsidR="0034762E" w:rsidRPr="00E52F2F" w:rsidRDefault="0034762E" w:rsidP="00E52F2F">
      <w:pPr>
        <w:pStyle w:val="Sarakstarindkopa"/>
        <w:numPr>
          <w:ilvl w:val="0"/>
          <w:numId w:val="8"/>
        </w:numPr>
        <w:jc w:val="both"/>
        <w:rPr>
          <w:rFonts w:cstheme="minorHAnsi"/>
        </w:rPr>
      </w:pPr>
      <w:r w:rsidRPr="00E52F2F">
        <w:rPr>
          <w:rFonts w:cstheme="minorHAnsi"/>
        </w:rPr>
        <w:t xml:space="preserve">Aptauja slimnīcas ārstējošajam personālam </w:t>
      </w:r>
      <w:proofErr w:type="spellStart"/>
      <w:r w:rsidRPr="00E52F2F">
        <w:rPr>
          <w:rFonts w:cstheme="minorHAnsi"/>
          <w:lang w:val="en-US"/>
        </w:rPr>
        <w:t>ar</w:t>
      </w:r>
      <w:proofErr w:type="spellEnd"/>
      <w:r w:rsidRPr="00E52F2F">
        <w:rPr>
          <w:rFonts w:cstheme="minorHAnsi"/>
          <w:lang w:val="en-US"/>
        </w:rPr>
        <w:t xml:space="preserve"> </w:t>
      </w:r>
      <w:proofErr w:type="spellStart"/>
      <w:r w:rsidRPr="00E52F2F">
        <w:rPr>
          <w:rFonts w:cstheme="minorHAnsi"/>
          <w:lang w:val="en-US"/>
        </w:rPr>
        <w:t>mērķi</w:t>
      </w:r>
      <w:proofErr w:type="spellEnd"/>
      <w:r w:rsidRPr="00E52F2F">
        <w:rPr>
          <w:rFonts w:cstheme="minorHAnsi"/>
          <w:lang w:val="en-US"/>
        </w:rPr>
        <w:t xml:space="preserve"> </w:t>
      </w:r>
      <w:proofErr w:type="spellStart"/>
      <w:r w:rsidRPr="00E52F2F">
        <w:rPr>
          <w:rFonts w:cstheme="minorHAnsi"/>
          <w:lang w:val="en-US"/>
        </w:rPr>
        <w:t>noteikt</w:t>
      </w:r>
      <w:proofErr w:type="spellEnd"/>
      <w:r w:rsidRPr="00E52F2F">
        <w:rPr>
          <w:rFonts w:cstheme="minorHAnsi"/>
          <w:lang w:val="en-US"/>
        </w:rPr>
        <w:t xml:space="preserve"> COVID-19 </w:t>
      </w:r>
      <w:proofErr w:type="spellStart"/>
      <w:r w:rsidRPr="00E52F2F">
        <w:rPr>
          <w:rFonts w:cstheme="minorHAnsi"/>
          <w:lang w:val="en-US"/>
        </w:rPr>
        <w:t>ietekmi</w:t>
      </w:r>
      <w:proofErr w:type="spellEnd"/>
      <w:r w:rsidRPr="00E52F2F">
        <w:rPr>
          <w:rFonts w:cstheme="minorHAnsi"/>
          <w:lang w:val="en-US"/>
        </w:rPr>
        <w:t xml:space="preserve"> </w:t>
      </w:r>
      <w:proofErr w:type="spellStart"/>
      <w:r w:rsidRPr="00E52F2F">
        <w:rPr>
          <w:rFonts w:cstheme="minorHAnsi"/>
          <w:lang w:val="en-US"/>
        </w:rPr>
        <w:t>uz</w:t>
      </w:r>
      <w:proofErr w:type="spellEnd"/>
      <w:r w:rsidRPr="00E52F2F">
        <w:rPr>
          <w:rFonts w:cstheme="minorHAnsi"/>
          <w:lang w:val="en-US"/>
        </w:rPr>
        <w:t xml:space="preserve"> </w:t>
      </w:r>
      <w:proofErr w:type="spellStart"/>
      <w:r w:rsidRPr="00E52F2F">
        <w:rPr>
          <w:rFonts w:cstheme="minorHAnsi"/>
          <w:lang w:val="en-US"/>
        </w:rPr>
        <w:t>stacionāra</w:t>
      </w:r>
      <w:proofErr w:type="spellEnd"/>
      <w:r w:rsidRPr="00E52F2F">
        <w:rPr>
          <w:rFonts w:cstheme="minorHAnsi"/>
          <w:lang w:val="en-US"/>
        </w:rPr>
        <w:t xml:space="preserve"> </w:t>
      </w:r>
      <w:proofErr w:type="spellStart"/>
      <w:r w:rsidRPr="00E52F2F">
        <w:rPr>
          <w:rFonts w:cstheme="minorHAnsi"/>
          <w:lang w:val="en-US"/>
        </w:rPr>
        <w:t>personālu</w:t>
      </w:r>
      <w:proofErr w:type="spellEnd"/>
      <w:r w:rsidRPr="00E52F2F">
        <w:rPr>
          <w:rFonts w:cstheme="minorHAnsi"/>
          <w:lang w:val="en-US"/>
        </w:rPr>
        <w:t xml:space="preserve">. </w:t>
      </w:r>
    </w:p>
    <w:p w14:paraId="0A7E704C" w14:textId="77777777" w:rsidR="0034762E" w:rsidRPr="00E52F2F" w:rsidRDefault="0034762E" w:rsidP="00E52F2F">
      <w:pPr>
        <w:pStyle w:val="Sarakstarindkopa"/>
        <w:numPr>
          <w:ilvl w:val="0"/>
          <w:numId w:val="8"/>
        </w:numPr>
        <w:jc w:val="both"/>
        <w:rPr>
          <w:rFonts w:cstheme="minorHAnsi"/>
        </w:rPr>
      </w:pPr>
      <w:r w:rsidRPr="00E52F2F">
        <w:rPr>
          <w:rFonts w:cstheme="minorHAnsi"/>
        </w:rPr>
        <w:t>Aptauja slimnīcas administrācijas darbiniekiem par kopējo apmierinātības līmeni dažādos jautājumos un ar slimnīcu kopumā.</w:t>
      </w:r>
    </w:p>
    <w:p w14:paraId="2FA6CB48" w14:textId="77777777" w:rsidR="0034762E" w:rsidRPr="00E52F2F" w:rsidRDefault="0034762E" w:rsidP="00E52F2F">
      <w:pPr>
        <w:pStyle w:val="Sarakstarindkopa"/>
        <w:numPr>
          <w:ilvl w:val="0"/>
          <w:numId w:val="8"/>
        </w:numPr>
        <w:jc w:val="both"/>
        <w:rPr>
          <w:rFonts w:cstheme="minorHAnsi"/>
        </w:rPr>
      </w:pPr>
      <w:r w:rsidRPr="00E52F2F">
        <w:rPr>
          <w:rFonts w:cstheme="minorHAnsi"/>
        </w:rPr>
        <w:t xml:space="preserve">Aptauja slimnīcas </w:t>
      </w:r>
      <w:proofErr w:type="spellStart"/>
      <w:r w:rsidRPr="00E52F2F">
        <w:rPr>
          <w:rFonts w:cstheme="minorHAnsi"/>
        </w:rPr>
        <w:t>multiprofesionālās</w:t>
      </w:r>
      <w:proofErr w:type="spellEnd"/>
      <w:r w:rsidRPr="00E52F2F">
        <w:rPr>
          <w:rFonts w:cstheme="minorHAnsi"/>
        </w:rPr>
        <w:t xml:space="preserve"> komandas speciālistiem par slimnīcā notiekošajiem procesiem un mikroklimatu.</w:t>
      </w:r>
    </w:p>
    <w:p w14:paraId="2CD1616C" w14:textId="77777777" w:rsidR="0034762E" w:rsidRPr="00E52F2F" w:rsidRDefault="0034762E" w:rsidP="00E52F2F">
      <w:pPr>
        <w:pStyle w:val="Sarakstarindkopa"/>
        <w:numPr>
          <w:ilvl w:val="0"/>
          <w:numId w:val="8"/>
        </w:numPr>
        <w:jc w:val="both"/>
        <w:rPr>
          <w:rFonts w:cstheme="minorHAnsi"/>
        </w:rPr>
      </w:pPr>
      <w:r w:rsidRPr="00E52F2F">
        <w:rPr>
          <w:rFonts w:cstheme="minorHAnsi"/>
        </w:rPr>
        <w:t xml:space="preserve">Aptauja visiem slimnīcas darbiniekiem par to, vai informācija par </w:t>
      </w:r>
      <w:proofErr w:type="spellStart"/>
      <w:r w:rsidRPr="00E52F2F">
        <w:rPr>
          <w:rFonts w:cstheme="minorHAnsi"/>
        </w:rPr>
        <w:t>psihoemocionālās</w:t>
      </w:r>
      <w:proofErr w:type="spellEnd"/>
      <w:r w:rsidRPr="00E52F2F">
        <w:rPr>
          <w:rFonts w:cstheme="minorHAnsi"/>
        </w:rPr>
        <w:t xml:space="preserve"> veselības veicināšanas pasākumiem nonāk līdz darbiniekiem un kādi ir labākie komunikācijas kanāli ar darbiniekiem</w:t>
      </w:r>
    </w:p>
    <w:p w14:paraId="77934505" w14:textId="77777777" w:rsidR="0034762E" w:rsidRPr="00E52F2F" w:rsidRDefault="0034762E" w:rsidP="00E52F2F">
      <w:pPr>
        <w:pStyle w:val="Sarakstarindkopa"/>
        <w:numPr>
          <w:ilvl w:val="0"/>
          <w:numId w:val="8"/>
        </w:numPr>
        <w:jc w:val="both"/>
        <w:rPr>
          <w:rFonts w:cstheme="minorHAnsi"/>
        </w:rPr>
      </w:pPr>
      <w:r w:rsidRPr="00E52F2F">
        <w:rPr>
          <w:rFonts w:cstheme="minorHAnsi"/>
        </w:rPr>
        <w:t xml:space="preserve">Aptauja visiem slimnīcas darbiniekiem, lai skaidrotu </w:t>
      </w:r>
      <w:r w:rsidRPr="00E52F2F">
        <w:rPr>
          <w:rFonts w:cstheme="minorHAnsi"/>
          <w:color w:val="000000"/>
        </w:rPr>
        <w:t xml:space="preserve">darbinieku </w:t>
      </w:r>
      <w:proofErr w:type="spellStart"/>
      <w:r w:rsidRPr="00E52F2F">
        <w:rPr>
          <w:rFonts w:cstheme="minorHAnsi"/>
          <w:color w:val="000000"/>
        </w:rPr>
        <w:t>psihoemocionālās</w:t>
      </w:r>
      <w:proofErr w:type="spellEnd"/>
      <w:r w:rsidRPr="00E52F2F">
        <w:rPr>
          <w:rFonts w:cstheme="minorHAnsi"/>
          <w:color w:val="000000"/>
        </w:rPr>
        <w:t xml:space="preserve"> veselības stāvokli darbavietā, faktorus, kas to ietekmē, kā arī noskaidrot </w:t>
      </w:r>
      <w:proofErr w:type="spellStart"/>
      <w:r w:rsidRPr="00E52F2F">
        <w:rPr>
          <w:rFonts w:cstheme="minorHAnsi"/>
          <w:color w:val="000000"/>
        </w:rPr>
        <w:t>psihoemocionālā</w:t>
      </w:r>
      <w:proofErr w:type="spellEnd"/>
      <w:r w:rsidRPr="00E52F2F">
        <w:rPr>
          <w:rFonts w:cstheme="minorHAnsi"/>
          <w:color w:val="000000"/>
        </w:rPr>
        <w:t xml:space="preserve"> atbalsta organizēšanas vajadzības.</w:t>
      </w:r>
    </w:p>
    <w:p w14:paraId="67CBDA62" w14:textId="77777777" w:rsidR="0034762E" w:rsidRPr="00AD1C18" w:rsidRDefault="0034762E" w:rsidP="00AD1C18">
      <w:pPr>
        <w:jc w:val="both"/>
        <w:rPr>
          <w:rFonts w:cstheme="minorHAnsi"/>
        </w:rPr>
      </w:pPr>
    </w:p>
    <w:p w14:paraId="1285CE53" w14:textId="77777777" w:rsidR="0034762E" w:rsidRPr="00AD1C18" w:rsidRDefault="0034762E" w:rsidP="00AD1C18">
      <w:pPr>
        <w:jc w:val="both"/>
        <w:rPr>
          <w:rFonts w:cstheme="minorHAnsi"/>
        </w:rPr>
      </w:pPr>
      <w:r w:rsidRPr="00AD1C18">
        <w:rPr>
          <w:rFonts w:cstheme="minorHAnsi"/>
        </w:rPr>
        <w:t>Visas aptaujas ir izanalizētas un apkopotas prezentācijas veidā.</w:t>
      </w:r>
    </w:p>
    <w:p w14:paraId="37D6620B" w14:textId="77777777" w:rsidR="0034762E" w:rsidRPr="00AD1C18" w:rsidRDefault="0034762E" w:rsidP="00AD1C18">
      <w:pPr>
        <w:jc w:val="both"/>
        <w:rPr>
          <w:rFonts w:cstheme="minorHAnsi"/>
          <w:u w:val="single"/>
        </w:rPr>
      </w:pPr>
      <w:r w:rsidRPr="00AD1C18">
        <w:rPr>
          <w:rFonts w:cstheme="minorHAnsi"/>
          <w:u w:val="single"/>
        </w:rPr>
        <w:t xml:space="preserve">Lai veicinātu, atgādinātu un aicinātu par </w:t>
      </w:r>
      <w:proofErr w:type="spellStart"/>
      <w:r w:rsidRPr="00AD1C18">
        <w:rPr>
          <w:rFonts w:cstheme="minorHAnsi"/>
          <w:u w:val="single"/>
        </w:rPr>
        <w:t>psihoemocionālo</w:t>
      </w:r>
      <w:proofErr w:type="spellEnd"/>
      <w:r w:rsidRPr="00AD1C18">
        <w:rPr>
          <w:rFonts w:cstheme="minorHAnsi"/>
          <w:u w:val="single"/>
        </w:rPr>
        <w:t xml:space="preserve"> veselību un tās nozīmīgumu ikviena cilvēka dzīvē, tika organizēti vairāki pasākumi:</w:t>
      </w:r>
    </w:p>
    <w:p w14:paraId="367C1FE8" w14:textId="77777777" w:rsidR="0034762E" w:rsidRPr="00AD1C18" w:rsidRDefault="0034762E" w:rsidP="00AD1C18">
      <w:pPr>
        <w:pStyle w:val="xmsonormal"/>
        <w:jc w:val="both"/>
        <w:rPr>
          <w:rFonts w:asciiTheme="minorHAnsi" w:hAnsiTheme="minorHAnsi" w:cstheme="minorHAnsi"/>
        </w:rPr>
      </w:pPr>
      <w:r w:rsidRPr="00AD1C18">
        <w:rPr>
          <w:rFonts w:asciiTheme="minorHAnsi" w:hAnsiTheme="minorHAnsi" w:cstheme="minorHAnsi"/>
        </w:rPr>
        <w:t xml:space="preserve">3 nodarbību ciklu par tēmu: </w:t>
      </w:r>
      <w:r w:rsidRPr="00AD1C18">
        <w:rPr>
          <w:rFonts w:asciiTheme="minorHAnsi" w:hAnsiTheme="minorHAnsi" w:cstheme="minorHAnsi"/>
          <w:i/>
          <w:iCs/>
        </w:rPr>
        <w:t>Izdegšana</w:t>
      </w:r>
      <w:r w:rsidRPr="00AD1C18">
        <w:rPr>
          <w:rFonts w:asciiTheme="minorHAnsi" w:hAnsiTheme="minorHAnsi" w:cstheme="minorHAnsi"/>
        </w:rPr>
        <w:t xml:space="preserve">. Nodarbību laikā tika sniegta ne tikai teorētiskā informācija, bet piedāvāti dažādi praktiski, pierādīti risinājumi apskatītajām problēmām. </w:t>
      </w:r>
    </w:p>
    <w:p w14:paraId="52E0CDF0" w14:textId="77777777" w:rsidR="0034762E" w:rsidRPr="00AD1C18" w:rsidRDefault="0034762E" w:rsidP="00AD1C18">
      <w:pPr>
        <w:pStyle w:val="xmsonormal"/>
        <w:jc w:val="both"/>
        <w:rPr>
          <w:rFonts w:asciiTheme="minorHAnsi" w:hAnsiTheme="minorHAnsi" w:cstheme="minorHAnsi"/>
        </w:rPr>
      </w:pPr>
      <w:r w:rsidRPr="00AD1C18">
        <w:rPr>
          <w:rFonts w:asciiTheme="minorHAnsi" w:hAnsiTheme="minorHAnsi" w:cstheme="minorHAnsi"/>
        </w:rPr>
        <w:t xml:space="preserve">Nodarbības notika gan klātienē, gan attālināti </w:t>
      </w:r>
      <w:proofErr w:type="spellStart"/>
      <w:r w:rsidRPr="00AD1C18">
        <w:rPr>
          <w:rFonts w:asciiTheme="minorHAnsi" w:hAnsiTheme="minorHAnsi" w:cstheme="minorHAnsi"/>
        </w:rPr>
        <w:t>Zoom</w:t>
      </w:r>
      <w:proofErr w:type="spellEnd"/>
      <w:r w:rsidRPr="00AD1C18">
        <w:rPr>
          <w:rFonts w:asciiTheme="minorHAnsi" w:hAnsiTheme="minorHAnsi" w:cstheme="minorHAnsi"/>
        </w:rPr>
        <w:t xml:space="preserve"> platformā.</w:t>
      </w:r>
    </w:p>
    <w:p w14:paraId="1549550B" w14:textId="77777777" w:rsidR="0034762E" w:rsidRPr="00AD1C18" w:rsidRDefault="0034762E" w:rsidP="00AD1C18">
      <w:pPr>
        <w:pStyle w:val="xmsonormal"/>
        <w:jc w:val="both"/>
        <w:rPr>
          <w:rFonts w:asciiTheme="minorHAnsi" w:hAnsiTheme="minorHAnsi" w:cstheme="minorHAnsi"/>
        </w:rPr>
      </w:pPr>
    </w:p>
    <w:p w14:paraId="39504D34" w14:textId="77777777" w:rsidR="0034762E" w:rsidRPr="00AD1C18" w:rsidRDefault="0034762E" w:rsidP="00AD1C18">
      <w:pPr>
        <w:jc w:val="both"/>
        <w:rPr>
          <w:rFonts w:cstheme="minorHAnsi"/>
        </w:rPr>
      </w:pPr>
      <w:r w:rsidRPr="00AD1C18">
        <w:rPr>
          <w:rFonts w:cstheme="minorHAnsi"/>
        </w:rPr>
        <w:t xml:space="preserve">Tās norisinājās: </w:t>
      </w:r>
    </w:p>
    <w:p w14:paraId="58AEA54C" w14:textId="77777777" w:rsidR="0034762E" w:rsidRPr="00AD1C18" w:rsidRDefault="0034762E" w:rsidP="00AD1C18">
      <w:pPr>
        <w:jc w:val="both"/>
        <w:rPr>
          <w:rFonts w:cstheme="minorHAnsi"/>
        </w:rPr>
      </w:pPr>
      <w:r w:rsidRPr="00AD1C18">
        <w:rPr>
          <w:rFonts w:cstheme="minorHAnsi"/>
        </w:rPr>
        <w:t>25. februārī, plkst. 11.30-12.00 un 13.30-14.00 (Izdegšanas iemesli un tās novēršana);</w:t>
      </w:r>
    </w:p>
    <w:p w14:paraId="3F08338B" w14:textId="77777777" w:rsidR="0034762E" w:rsidRPr="00AD1C18" w:rsidRDefault="0034762E" w:rsidP="00AD1C18">
      <w:pPr>
        <w:jc w:val="both"/>
        <w:rPr>
          <w:rFonts w:cstheme="minorHAnsi"/>
        </w:rPr>
      </w:pPr>
      <w:r w:rsidRPr="00AD1C18">
        <w:rPr>
          <w:rFonts w:cstheme="minorHAnsi"/>
        </w:rPr>
        <w:t xml:space="preserve">10. martā, plkst. 11.30-12.00 un 13.30-14.00 (Izdegšanas iemesli un tās novēršana); </w:t>
      </w:r>
    </w:p>
    <w:p w14:paraId="38AE3AA8" w14:textId="77777777" w:rsidR="0034762E" w:rsidRPr="00AD1C18" w:rsidRDefault="0034762E" w:rsidP="00AD1C18">
      <w:pPr>
        <w:jc w:val="both"/>
        <w:rPr>
          <w:rFonts w:cstheme="minorHAnsi"/>
        </w:rPr>
      </w:pPr>
      <w:r w:rsidRPr="00AD1C18">
        <w:rPr>
          <w:rFonts w:cstheme="minorHAnsi"/>
        </w:rPr>
        <w:t>18. martā, plkst. 11.30-12.00 un 13.30-14.00 (Pašaprūpe – greznība vai nepieciešamība);</w:t>
      </w:r>
    </w:p>
    <w:p w14:paraId="0F0D0CBC" w14:textId="77777777" w:rsidR="0034762E" w:rsidRPr="00AD1C18" w:rsidRDefault="0034762E" w:rsidP="00AD1C18">
      <w:pPr>
        <w:jc w:val="both"/>
        <w:rPr>
          <w:rFonts w:cstheme="minorHAnsi"/>
        </w:rPr>
      </w:pPr>
      <w:r w:rsidRPr="00AD1C18">
        <w:rPr>
          <w:rFonts w:cstheme="minorHAnsi"/>
        </w:rPr>
        <w:t>31. martā, plkst. 11.30-12.00 un 13.30-14.00 (Stresa vadīšanas prasmes)</w:t>
      </w:r>
    </w:p>
    <w:p w14:paraId="02AE49A3" w14:textId="77777777" w:rsidR="0034762E" w:rsidRPr="00AD1C18" w:rsidRDefault="0034762E" w:rsidP="00AD1C18">
      <w:pPr>
        <w:jc w:val="both"/>
        <w:rPr>
          <w:rFonts w:cstheme="minorHAnsi"/>
          <w:u w:val="single"/>
        </w:rPr>
      </w:pPr>
      <w:r w:rsidRPr="00AD1C18">
        <w:rPr>
          <w:rFonts w:cstheme="minorHAnsi"/>
          <w:u w:val="single"/>
        </w:rPr>
        <w:t>3 nodarbību ciklu ir noklausījušies 132 darbinieki</w:t>
      </w:r>
    </w:p>
    <w:p w14:paraId="734BB4AC" w14:textId="77777777" w:rsidR="0034762E" w:rsidRPr="00AD1C18" w:rsidRDefault="0034762E" w:rsidP="00AD1C18">
      <w:pPr>
        <w:jc w:val="both"/>
        <w:rPr>
          <w:rFonts w:cstheme="minorHAnsi"/>
        </w:rPr>
      </w:pPr>
    </w:p>
    <w:p w14:paraId="3A5F2F1C" w14:textId="77777777" w:rsidR="0034762E" w:rsidRPr="00AD1C18" w:rsidRDefault="0034762E" w:rsidP="00AD1C18">
      <w:pPr>
        <w:jc w:val="both"/>
        <w:rPr>
          <w:rFonts w:cstheme="minorHAnsi"/>
        </w:rPr>
      </w:pPr>
      <w:r w:rsidRPr="00AD1C18">
        <w:rPr>
          <w:rFonts w:cstheme="minorHAnsi"/>
        </w:rPr>
        <w:t xml:space="preserve">Seminārs </w:t>
      </w:r>
      <w:bookmarkStart w:id="1" w:name="_Hlk100743877"/>
      <w:r w:rsidRPr="00AD1C18">
        <w:rPr>
          <w:rFonts w:cstheme="minorHAnsi"/>
        </w:rPr>
        <w:t>“Kā saglabāt līdzsvaru krīzes apstākļos”</w:t>
      </w:r>
      <w:bookmarkEnd w:id="1"/>
      <w:r w:rsidRPr="00AD1C18">
        <w:rPr>
          <w:rFonts w:cstheme="minorHAnsi"/>
        </w:rPr>
        <w:t>, 5. maijā no plkst. 13.00-15.00</w:t>
      </w:r>
    </w:p>
    <w:p w14:paraId="709F230E" w14:textId="77777777" w:rsidR="0034762E" w:rsidRPr="00AD1C18" w:rsidRDefault="0034762E" w:rsidP="00AD1C18">
      <w:pPr>
        <w:jc w:val="both"/>
        <w:rPr>
          <w:rFonts w:cstheme="minorHAnsi"/>
        </w:rPr>
      </w:pPr>
      <w:r w:rsidRPr="00AD1C18">
        <w:rPr>
          <w:rFonts w:cstheme="minorHAnsi"/>
        </w:rPr>
        <w:t>Seminārā tika skatītas tēmas par to, kā mēs katrs varam vadīt savas emocijas krīzes situācijās.</w:t>
      </w:r>
    </w:p>
    <w:p w14:paraId="2410C0C8" w14:textId="77777777" w:rsidR="0034762E" w:rsidRPr="00AD1C18" w:rsidRDefault="0034762E" w:rsidP="00AD1C18">
      <w:pPr>
        <w:pStyle w:val="xmsonormal"/>
        <w:jc w:val="both"/>
        <w:rPr>
          <w:rFonts w:asciiTheme="minorHAnsi" w:hAnsiTheme="minorHAnsi" w:cstheme="minorHAnsi"/>
        </w:rPr>
      </w:pPr>
      <w:r w:rsidRPr="00AD1C18">
        <w:rPr>
          <w:rFonts w:asciiTheme="minorHAnsi" w:hAnsiTheme="minorHAnsi" w:cstheme="minorHAnsi"/>
        </w:rPr>
        <w:t>Seminārs notika klātienē, bet tas tika ierakstīts.</w:t>
      </w:r>
    </w:p>
    <w:p w14:paraId="31C07354" w14:textId="77777777" w:rsidR="0034762E" w:rsidRPr="00AD1C18" w:rsidRDefault="0034762E" w:rsidP="00AD1C18">
      <w:pPr>
        <w:jc w:val="both"/>
        <w:rPr>
          <w:rFonts w:cstheme="minorHAnsi"/>
          <w:u w:val="single"/>
        </w:rPr>
      </w:pPr>
      <w:r w:rsidRPr="00AD1C18">
        <w:rPr>
          <w:rFonts w:cstheme="minorHAnsi"/>
          <w:u w:val="single"/>
        </w:rPr>
        <w:t>Semināru ir noklausījušies 32 darbinieki</w:t>
      </w:r>
    </w:p>
    <w:p w14:paraId="27844313" w14:textId="77777777" w:rsidR="0034762E" w:rsidRPr="00AD1C18" w:rsidRDefault="0034762E" w:rsidP="00AD1C18">
      <w:pPr>
        <w:jc w:val="both"/>
        <w:rPr>
          <w:rFonts w:cstheme="minorHAnsi"/>
          <w:b/>
          <w:bCs/>
        </w:rPr>
      </w:pPr>
      <w:r w:rsidRPr="00AD1C18">
        <w:rPr>
          <w:rFonts w:cstheme="minorHAnsi"/>
          <w:b/>
          <w:bCs/>
        </w:rPr>
        <w:t>Jautrā sacensība Rūpes par sevi maratons, norises laiks no 5. maija līdz 6. jūnijam.</w:t>
      </w:r>
    </w:p>
    <w:p w14:paraId="180DFBBC" w14:textId="77777777" w:rsidR="0034762E" w:rsidRPr="00AD1C18" w:rsidRDefault="0034762E" w:rsidP="00AD1C18">
      <w:pPr>
        <w:jc w:val="both"/>
        <w:rPr>
          <w:rFonts w:cstheme="minorHAnsi"/>
        </w:rPr>
      </w:pPr>
      <w:r w:rsidRPr="00AD1C18">
        <w:rPr>
          <w:rFonts w:cstheme="minorHAnsi"/>
        </w:rPr>
        <w:t xml:space="preserve">Triju nodarbību ciklā, kas norisinājās martā un aprīlī, darbinieki uzzināja dažus no daudziem vienkāršiem veidiem, kā parūpēties par sevi, neveltot tam visu dienu. </w:t>
      </w:r>
    </w:p>
    <w:p w14:paraId="6B7F07E0" w14:textId="77777777" w:rsidR="0034762E" w:rsidRPr="00AD1C18" w:rsidRDefault="0034762E" w:rsidP="00AD1C18">
      <w:pPr>
        <w:jc w:val="both"/>
        <w:rPr>
          <w:rFonts w:cstheme="minorHAnsi"/>
        </w:rPr>
      </w:pPr>
      <w:r w:rsidRPr="00AD1C18">
        <w:rPr>
          <w:rFonts w:cstheme="minorHAnsi"/>
          <w:color w:val="222222"/>
          <w:shd w:val="clear" w:color="auto" w:fill="FFFFFF"/>
        </w:rPr>
        <w:t>Seminārā “Kā saglabāt līdzsvaru krīzes apstākļos”, apguva e</w:t>
      </w:r>
      <w:r w:rsidRPr="00AD1C18">
        <w:rPr>
          <w:rFonts w:cstheme="minorHAnsi"/>
        </w:rPr>
        <w:t>mociju regulācijas prasmes.</w:t>
      </w:r>
    </w:p>
    <w:p w14:paraId="035E1F81" w14:textId="77777777" w:rsidR="0034762E" w:rsidRPr="00AD1C18" w:rsidRDefault="0034762E" w:rsidP="00AD1C18">
      <w:pPr>
        <w:jc w:val="both"/>
        <w:rPr>
          <w:rFonts w:cstheme="minorHAnsi"/>
          <w:color w:val="222222"/>
          <w:shd w:val="clear" w:color="auto" w:fill="FFFFFF"/>
        </w:rPr>
      </w:pPr>
      <w:r w:rsidRPr="00AD1C18">
        <w:rPr>
          <w:rFonts w:cstheme="minorHAnsi"/>
        </w:rPr>
        <w:t xml:space="preserve">Lai padarītu savu ikdienu krāsaināku, paņemtu pauzi no darba pienākumiem, izkustētos, kā arī lai nostiprinātu iegūtās zināšanas un iedrošinātu tās pielietot praksē, darbinieki tika aicināti </w:t>
      </w:r>
      <w:r w:rsidRPr="00AD1C18">
        <w:rPr>
          <w:rFonts w:cstheme="minorHAnsi"/>
          <w:b/>
          <w:bCs/>
        </w:rPr>
        <w:t xml:space="preserve">piedalīties jautrajā komandu </w:t>
      </w:r>
      <w:r w:rsidRPr="00AD1C18">
        <w:rPr>
          <w:rFonts w:cstheme="minorHAnsi"/>
          <w:b/>
          <w:bCs/>
          <w:color w:val="222222"/>
          <w:shd w:val="clear" w:color="auto" w:fill="FFFFFF"/>
        </w:rPr>
        <w:t>sacensībā “</w:t>
      </w:r>
      <w:r w:rsidRPr="00AD1C18">
        <w:rPr>
          <w:rFonts w:cstheme="minorHAnsi"/>
          <w:b/>
          <w:bCs/>
          <w:i/>
          <w:iCs/>
          <w:color w:val="222222"/>
          <w:shd w:val="clear" w:color="auto" w:fill="FFFFFF"/>
        </w:rPr>
        <w:t>Rūpes par sevi</w:t>
      </w:r>
      <w:r w:rsidRPr="00AD1C18">
        <w:rPr>
          <w:rFonts w:cstheme="minorHAnsi"/>
          <w:b/>
          <w:bCs/>
          <w:color w:val="222222"/>
          <w:shd w:val="clear" w:color="auto" w:fill="FFFFFF"/>
        </w:rPr>
        <w:t xml:space="preserve"> maratons”</w:t>
      </w:r>
      <w:r w:rsidRPr="00AD1C18">
        <w:rPr>
          <w:rFonts w:cstheme="minorHAnsi"/>
          <w:color w:val="222222"/>
          <w:shd w:val="clear" w:color="auto" w:fill="FFFFFF"/>
        </w:rPr>
        <w:t xml:space="preserve">, kur bija iespējams saņemt balvas divās nominācijās: </w:t>
      </w:r>
      <w:r w:rsidRPr="00AD1C18">
        <w:rPr>
          <w:rFonts w:cstheme="minorHAnsi"/>
          <w:b/>
          <w:bCs/>
          <w:color w:val="222222"/>
          <w:shd w:val="clear" w:color="auto" w:fill="FFFFFF"/>
        </w:rPr>
        <w:t>Zinošākā komanda</w:t>
      </w:r>
      <w:r w:rsidRPr="00AD1C18">
        <w:rPr>
          <w:rFonts w:cstheme="minorHAnsi"/>
          <w:color w:val="222222"/>
          <w:shd w:val="clear" w:color="auto" w:fill="FFFFFF"/>
        </w:rPr>
        <w:t xml:space="preserve"> un </w:t>
      </w:r>
      <w:r w:rsidRPr="00AD1C18">
        <w:rPr>
          <w:rFonts w:cstheme="minorHAnsi"/>
          <w:b/>
          <w:bCs/>
          <w:color w:val="222222"/>
          <w:shd w:val="clear" w:color="auto" w:fill="FFFFFF"/>
        </w:rPr>
        <w:t>Atraktīvākā komanda</w:t>
      </w:r>
      <w:r w:rsidRPr="00AD1C18">
        <w:rPr>
          <w:rFonts w:cstheme="minorHAnsi"/>
          <w:color w:val="222222"/>
          <w:shd w:val="clear" w:color="auto" w:fill="FFFFFF"/>
        </w:rPr>
        <w:t xml:space="preserve">. </w:t>
      </w:r>
    </w:p>
    <w:p w14:paraId="4CEB468B" w14:textId="77777777" w:rsidR="0034762E" w:rsidRPr="00AD1C18" w:rsidRDefault="0034762E" w:rsidP="00AD1C18">
      <w:pPr>
        <w:jc w:val="both"/>
        <w:rPr>
          <w:rFonts w:cstheme="minorHAnsi"/>
          <w:color w:val="222222"/>
          <w:shd w:val="clear" w:color="auto" w:fill="FFFFFF"/>
        </w:rPr>
      </w:pPr>
      <w:r w:rsidRPr="00AD1C18">
        <w:rPr>
          <w:rFonts w:cstheme="minorHAnsi"/>
          <w:color w:val="222222"/>
          <w:shd w:val="clear" w:color="auto" w:fill="FFFFFF"/>
        </w:rPr>
        <w:t>Sacensības mērķi:</w:t>
      </w:r>
    </w:p>
    <w:p w14:paraId="78FE228D" w14:textId="77777777" w:rsidR="0034762E" w:rsidRPr="001A5614" w:rsidRDefault="0034762E" w:rsidP="001A5614">
      <w:pPr>
        <w:pStyle w:val="Sarakstarindkopa"/>
        <w:numPr>
          <w:ilvl w:val="0"/>
          <w:numId w:val="9"/>
        </w:numPr>
        <w:jc w:val="both"/>
        <w:rPr>
          <w:rFonts w:cstheme="minorHAnsi"/>
          <w:color w:val="222222"/>
          <w:shd w:val="clear" w:color="auto" w:fill="FFFFFF"/>
        </w:rPr>
      </w:pPr>
      <w:r w:rsidRPr="001A5614">
        <w:rPr>
          <w:rFonts w:cstheme="minorHAnsi"/>
        </w:rPr>
        <w:t xml:space="preserve">Veicināt darbinieku </w:t>
      </w:r>
      <w:proofErr w:type="spellStart"/>
      <w:r w:rsidRPr="001A5614">
        <w:rPr>
          <w:rFonts w:cstheme="minorHAnsi"/>
        </w:rPr>
        <w:t>psihoemocionālo</w:t>
      </w:r>
      <w:proofErr w:type="spellEnd"/>
      <w:r w:rsidRPr="001A5614">
        <w:rPr>
          <w:rFonts w:cstheme="minorHAnsi"/>
        </w:rPr>
        <w:t xml:space="preserve"> veselību. </w:t>
      </w:r>
    </w:p>
    <w:p w14:paraId="4880762E" w14:textId="77777777" w:rsidR="0034762E" w:rsidRPr="001A5614" w:rsidRDefault="0034762E" w:rsidP="001A5614">
      <w:pPr>
        <w:pStyle w:val="Sarakstarindkopa"/>
        <w:numPr>
          <w:ilvl w:val="0"/>
          <w:numId w:val="9"/>
        </w:numPr>
        <w:jc w:val="both"/>
        <w:rPr>
          <w:rFonts w:cstheme="minorHAnsi"/>
        </w:rPr>
      </w:pPr>
      <w:r w:rsidRPr="001A5614">
        <w:rPr>
          <w:rFonts w:cstheme="minorHAnsi"/>
        </w:rPr>
        <w:t>Aicināt ikdienā atcerēties par sevi.</w:t>
      </w:r>
    </w:p>
    <w:p w14:paraId="03429F67" w14:textId="77777777" w:rsidR="0034762E" w:rsidRPr="001A5614" w:rsidRDefault="0034762E" w:rsidP="001A5614">
      <w:pPr>
        <w:pStyle w:val="Sarakstarindkopa"/>
        <w:numPr>
          <w:ilvl w:val="0"/>
          <w:numId w:val="9"/>
        </w:numPr>
        <w:jc w:val="both"/>
        <w:rPr>
          <w:rFonts w:cstheme="minorHAnsi"/>
        </w:rPr>
      </w:pPr>
      <w:r w:rsidRPr="001A5614">
        <w:rPr>
          <w:rFonts w:cstheme="minorHAnsi"/>
        </w:rPr>
        <w:t>Popularizēt stresa mazināšanas tehnikas/paņēmieni darbinieku vidū.</w:t>
      </w:r>
    </w:p>
    <w:p w14:paraId="2DE9D9FB" w14:textId="77777777" w:rsidR="0034762E" w:rsidRPr="001A5614" w:rsidRDefault="0034762E" w:rsidP="001A5614">
      <w:pPr>
        <w:pStyle w:val="Sarakstarindkopa"/>
        <w:numPr>
          <w:ilvl w:val="0"/>
          <w:numId w:val="9"/>
        </w:numPr>
        <w:jc w:val="both"/>
        <w:rPr>
          <w:rFonts w:cstheme="minorHAnsi"/>
        </w:rPr>
      </w:pPr>
      <w:r w:rsidRPr="001A5614">
        <w:rPr>
          <w:rFonts w:cstheme="minorHAnsi"/>
        </w:rPr>
        <w:t>Veicināt darbinieku saliedētību.</w:t>
      </w:r>
    </w:p>
    <w:p w14:paraId="7F5C486D" w14:textId="77777777" w:rsidR="0034762E" w:rsidRPr="001A5614" w:rsidRDefault="0034762E" w:rsidP="001A5614">
      <w:pPr>
        <w:pStyle w:val="Sarakstarindkopa"/>
        <w:numPr>
          <w:ilvl w:val="0"/>
          <w:numId w:val="9"/>
        </w:numPr>
        <w:jc w:val="both"/>
        <w:rPr>
          <w:rFonts w:cstheme="minorHAnsi"/>
        </w:rPr>
      </w:pPr>
      <w:r w:rsidRPr="001A5614">
        <w:rPr>
          <w:rFonts w:cstheme="minorHAnsi"/>
        </w:rPr>
        <w:t>Veicināt pozitīvu darba vidi.</w:t>
      </w:r>
    </w:p>
    <w:p w14:paraId="12537111" w14:textId="2C970649" w:rsidR="0034762E" w:rsidRPr="001A5614" w:rsidRDefault="0034762E" w:rsidP="001A5614">
      <w:pPr>
        <w:pStyle w:val="Sarakstarindkopa"/>
        <w:numPr>
          <w:ilvl w:val="0"/>
          <w:numId w:val="9"/>
        </w:numPr>
        <w:jc w:val="both"/>
        <w:rPr>
          <w:rFonts w:cstheme="minorHAnsi"/>
        </w:rPr>
      </w:pPr>
      <w:r w:rsidRPr="001A5614">
        <w:rPr>
          <w:rFonts w:cstheme="minorHAnsi"/>
        </w:rPr>
        <w:t>V</w:t>
      </w:r>
      <w:r w:rsidR="00AD1C18" w:rsidRPr="001A5614">
        <w:rPr>
          <w:rFonts w:cstheme="minorHAnsi"/>
        </w:rPr>
        <w:t>e</w:t>
      </w:r>
      <w:r w:rsidRPr="001A5614">
        <w:rPr>
          <w:rFonts w:cstheme="minorHAnsi"/>
        </w:rPr>
        <w:t>icināt VSIA “Slimnīcas “Ģintermuiža”” atpazīstamību.</w:t>
      </w:r>
    </w:p>
    <w:p w14:paraId="7F763A49" w14:textId="77777777" w:rsidR="0034762E" w:rsidRPr="00AD1C18" w:rsidRDefault="0034762E" w:rsidP="00AD1C18">
      <w:pPr>
        <w:jc w:val="both"/>
        <w:rPr>
          <w:rFonts w:cstheme="minorHAnsi"/>
          <w:color w:val="222222"/>
          <w:shd w:val="clear" w:color="auto" w:fill="FFFFFF"/>
        </w:rPr>
      </w:pPr>
      <w:r w:rsidRPr="00AD1C18">
        <w:rPr>
          <w:rFonts w:cstheme="minorHAnsi"/>
          <w:color w:val="222222"/>
          <w:shd w:val="clear" w:color="auto" w:fill="FFFFFF"/>
        </w:rPr>
        <w:t>Uzvarētāju apbalvošana notika 20. jūnija svinīgajā pasākumā.</w:t>
      </w:r>
    </w:p>
    <w:p w14:paraId="22B8C99D" w14:textId="77777777" w:rsidR="0034762E" w:rsidRPr="00AD1C18" w:rsidRDefault="0034762E" w:rsidP="00AD1C18">
      <w:pPr>
        <w:jc w:val="both"/>
        <w:rPr>
          <w:rFonts w:cstheme="minorHAnsi"/>
          <w:color w:val="222222"/>
          <w:u w:val="single"/>
          <w:shd w:val="clear" w:color="auto" w:fill="FFFFFF"/>
        </w:rPr>
      </w:pPr>
      <w:r w:rsidRPr="00AD1C18">
        <w:rPr>
          <w:rFonts w:cstheme="minorHAnsi"/>
          <w:color w:val="222222"/>
          <w:u w:val="single"/>
          <w:shd w:val="clear" w:color="auto" w:fill="FFFFFF"/>
        </w:rPr>
        <w:t xml:space="preserve">Jautrajā sacensībā piedalījās 107 dalībnieki, </w:t>
      </w:r>
      <w:proofErr w:type="spellStart"/>
      <w:r w:rsidRPr="00AD1C18">
        <w:rPr>
          <w:rFonts w:cstheme="minorHAnsi"/>
          <w:color w:val="222222"/>
          <w:u w:val="single"/>
          <w:shd w:val="clear" w:color="auto" w:fill="FFFFFF"/>
        </w:rPr>
        <w:t>videoprezentācijas</w:t>
      </w:r>
      <w:proofErr w:type="spellEnd"/>
      <w:r w:rsidRPr="00AD1C18">
        <w:rPr>
          <w:rFonts w:cstheme="minorHAnsi"/>
          <w:color w:val="222222"/>
          <w:u w:val="single"/>
          <w:shd w:val="clear" w:color="auto" w:fill="FFFFFF"/>
        </w:rPr>
        <w:t xml:space="preserve"> iesūtīja 7 komandas.</w:t>
      </w:r>
    </w:p>
    <w:p w14:paraId="261B4103" w14:textId="7F6394F4" w:rsidR="0034762E" w:rsidRPr="00AD1C18" w:rsidRDefault="0034762E" w:rsidP="00AD1C18">
      <w:pPr>
        <w:jc w:val="both"/>
        <w:rPr>
          <w:rFonts w:cstheme="minorHAnsi"/>
        </w:rPr>
      </w:pPr>
      <w:r w:rsidRPr="00AD1C18">
        <w:rPr>
          <w:rFonts w:cstheme="minorHAnsi"/>
          <w:color w:val="222222"/>
          <w:shd w:val="clear" w:color="auto" w:fill="FFFFFF"/>
        </w:rPr>
        <w:t>Lai nodrošinātu sacensību norisi tika izstrādāts nolikums, izveidota žūrija, veiktas sarunas ar sadarbības partneriem par veicināšana balvu piešķiršanu, u.c. ar pasākumu saistīti org</w:t>
      </w:r>
      <w:r w:rsidR="00AD1C18">
        <w:rPr>
          <w:rFonts w:cstheme="minorHAnsi"/>
          <w:color w:val="222222"/>
          <w:shd w:val="clear" w:color="auto" w:fill="FFFFFF"/>
        </w:rPr>
        <w:t>a</w:t>
      </w:r>
      <w:r w:rsidRPr="00AD1C18">
        <w:rPr>
          <w:rFonts w:cstheme="minorHAnsi"/>
          <w:color w:val="222222"/>
          <w:shd w:val="clear" w:color="auto" w:fill="FFFFFF"/>
        </w:rPr>
        <w:t xml:space="preserve">nizatoriskie jautājumi. </w:t>
      </w:r>
    </w:p>
    <w:p w14:paraId="6E5A678A" w14:textId="77777777" w:rsidR="0034762E" w:rsidRPr="00AD1C18" w:rsidRDefault="0034762E" w:rsidP="00AD1C18">
      <w:pPr>
        <w:jc w:val="both"/>
        <w:rPr>
          <w:rFonts w:cstheme="minorHAnsi"/>
        </w:rPr>
      </w:pPr>
      <w:r w:rsidRPr="00AD1C18">
        <w:rPr>
          <w:rFonts w:cstheme="minorHAnsi"/>
        </w:rPr>
        <w:t>Lai izplatītu informāciju par notiekošajiem pasākumiem, tiek izstrādāti atbilstoši plakāti, sagatavoti e-pasta paziņojumi, kā arī individuālajās sarunās ar darbiniekiem aicināti apmeklēt pasākumus.</w:t>
      </w:r>
    </w:p>
    <w:p w14:paraId="319490F9" w14:textId="77777777" w:rsidR="0034762E" w:rsidRPr="00AD1C18" w:rsidRDefault="0034762E" w:rsidP="00AD1C18">
      <w:pPr>
        <w:jc w:val="both"/>
        <w:rPr>
          <w:rFonts w:cstheme="minorHAnsi"/>
        </w:rPr>
      </w:pPr>
      <w:r w:rsidRPr="00AD1C18">
        <w:rPr>
          <w:rFonts w:cstheme="minorHAnsi"/>
        </w:rPr>
        <w:t xml:space="preserve">Visas nodarbības, seminārs un Jautrā sacensība </w:t>
      </w:r>
      <w:r w:rsidRPr="00AD1C18">
        <w:rPr>
          <w:rFonts w:cstheme="minorHAnsi"/>
          <w:i/>
          <w:iCs/>
        </w:rPr>
        <w:t>Rūpes par sevi</w:t>
      </w:r>
      <w:r w:rsidRPr="00AD1C18">
        <w:rPr>
          <w:rFonts w:cstheme="minorHAnsi"/>
        </w:rPr>
        <w:t xml:space="preserve"> maratons videofaili darbiniekiem ir pieejami 24/7 </w:t>
      </w:r>
      <w:hyperlink r:id="rId8" w:history="1">
        <w:r w:rsidRPr="00AD1C18">
          <w:rPr>
            <w:rStyle w:val="Hipersaite"/>
            <w:rFonts w:cstheme="minorHAnsi"/>
          </w:rPr>
          <w:t>www.vimeo.com</w:t>
        </w:r>
      </w:hyperlink>
      <w:r w:rsidRPr="00AD1C18">
        <w:rPr>
          <w:rFonts w:cstheme="minorHAnsi"/>
        </w:rPr>
        <w:t xml:space="preserve"> platformā.</w:t>
      </w:r>
    </w:p>
    <w:p w14:paraId="12D47371" w14:textId="77777777" w:rsidR="00D90974" w:rsidRPr="00AD1C18" w:rsidRDefault="00D90974" w:rsidP="00AD1C18">
      <w:pPr>
        <w:spacing w:before="100" w:beforeAutospacing="1" w:after="100" w:afterAutospacing="1"/>
        <w:jc w:val="both"/>
        <w:rPr>
          <w:rFonts w:cstheme="minorHAnsi"/>
        </w:rPr>
      </w:pPr>
    </w:p>
    <w:bookmarkEnd w:id="0"/>
    <w:p w14:paraId="0C722F1F" w14:textId="77777777" w:rsidR="00863730" w:rsidRPr="00AD1C18" w:rsidRDefault="00863730" w:rsidP="00863730">
      <w:pPr>
        <w:spacing w:after="0"/>
        <w:rPr>
          <w:rFonts w:cstheme="minorHAnsi"/>
          <w:b/>
          <w:bCs/>
        </w:rPr>
      </w:pPr>
      <w:r w:rsidRPr="00AD1C18">
        <w:rPr>
          <w:rFonts w:cstheme="minorHAnsi"/>
          <w:b/>
          <w:bCs/>
        </w:rPr>
        <w:t>Klientu apkalpošana un kvalitātes vadība</w:t>
      </w:r>
    </w:p>
    <w:p w14:paraId="6BD73E0E" w14:textId="248BF819" w:rsidR="00EA6462" w:rsidRPr="00AD1C18" w:rsidRDefault="00EA6462" w:rsidP="00EA6462">
      <w:pPr>
        <w:shd w:val="clear" w:color="auto" w:fill="FFFFFF"/>
        <w:spacing w:before="100" w:beforeAutospacing="1" w:after="100" w:afterAutospacing="1" w:line="276" w:lineRule="auto"/>
        <w:jc w:val="both"/>
        <w:rPr>
          <w:rFonts w:cstheme="minorHAnsi"/>
        </w:rPr>
      </w:pPr>
      <w:r w:rsidRPr="00AD1C18">
        <w:rPr>
          <w:rFonts w:cstheme="minorHAnsi"/>
        </w:rPr>
        <w:t>2021. gada nogalē uzsāktais darbs pie medicīniskās dokumentācijas ierakstu kvalitātes uzlabošanas</w:t>
      </w:r>
      <w:r w:rsidR="00863730" w:rsidRPr="00AD1C18">
        <w:rPr>
          <w:rFonts w:cstheme="minorHAnsi"/>
        </w:rPr>
        <w:t>, kas</w:t>
      </w:r>
      <w:r w:rsidRPr="00AD1C18">
        <w:rPr>
          <w:rFonts w:cstheme="minorHAnsi"/>
        </w:rPr>
        <w:t xml:space="preserve"> turpinās arī 2022. gadā. 2022. gadā ir plānotas divas  “Darba kvalitātes, higiēniskā un </w:t>
      </w:r>
      <w:proofErr w:type="spellStart"/>
      <w:r w:rsidRPr="00AD1C18">
        <w:rPr>
          <w:rFonts w:cstheme="minorHAnsi"/>
        </w:rPr>
        <w:t>pretepidēmiskā</w:t>
      </w:r>
      <w:proofErr w:type="spellEnd"/>
      <w:r w:rsidRPr="00AD1C18">
        <w:rPr>
          <w:rFonts w:cstheme="minorHAnsi"/>
        </w:rPr>
        <w:t xml:space="preserve"> režīma prasību ievērošanas un medikamentu aprites pārbaudes”. Šajā gadā pirmā plānotā pārbaude uzsākta 25. aprīlī. Galvenais akcents tiek likts uz medicīniskās un aprūpes dokumentācijas ierakstu kvalitāti. Pārbaužu rezultāti tiks apkopoti un prezentēti iestādes un nodaļu vadībai. Nepilnības un ieteikumi tiek pārrunāti ar attiecīgās nodaļas vadītāju un virsmāsu. Tiek dots noteikts laika termiņš nepilnību novēršanai. </w:t>
      </w:r>
    </w:p>
    <w:p w14:paraId="3B749147" w14:textId="77777777" w:rsidR="00EA6462" w:rsidRPr="00AD1C18" w:rsidRDefault="00EA6462" w:rsidP="00EA6462">
      <w:pPr>
        <w:shd w:val="clear" w:color="auto" w:fill="FFFFFF"/>
        <w:spacing w:before="100" w:beforeAutospacing="1" w:after="100" w:afterAutospacing="1" w:line="240" w:lineRule="auto"/>
        <w:jc w:val="both"/>
        <w:rPr>
          <w:rFonts w:cstheme="minorHAnsi"/>
        </w:rPr>
      </w:pPr>
      <w:r w:rsidRPr="00AD1C18">
        <w:rPr>
          <w:rFonts w:cstheme="minorHAnsi"/>
        </w:rPr>
        <w:t>Š. g. pirmajā ceturksnī tika izstrādāts un ar 1. aprīli ieviests metodiskais palīgmateriāls “Medicīniskās dokumentācijas, ārstniecisko izmeklējumu un konsultāciju “</w:t>
      </w:r>
      <w:proofErr w:type="spellStart"/>
      <w:r w:rsidRPr="00AD1C18">
        <w:rPr>
          <w:rFonts w:cstheme="minorHAnsi"/>
        </w:rPr>
        <w:t>čekliste</w:t>
      </w:r>
      <w:proofErr w:type="spellEnd"/>
      <w:r w:rsidRPr="00AD1C18">
        <w:rPr>
          <w:rFonts w:cstheme="minorHAnsi"/>
        </w:rPr>
        <w:t xml:space="preserve">” 2. akūtās psihiatrijas nodaļas pacientiem ar tiesas lēmumu noteiktu medicīniska rakstura piespiedu līdzekli – ārstēšanos VSIA “Slimnīca “Ģintermuiža”” ar mērķi uzlabot ārstēšanas, aprūpes, slimību profilakses un medicīniskās dokumentācijas ierakstu kvalitāti, kā arī pilnveidotu nodaļas darba organizāciju, nosakot plānoto darbu termiņus, atbildīgās personas. Izmantojot “instrumentu”, nodaļas vadībai ir iespēja veikt iekšējo procesu auditu un ilgtermiņā izvērtēt, vai izvirzītie mērķi ir sasniegti. </w:t>
      </w:r>
    </w:p>
    <w:p w14:paraId="3BA396E8" w14:textId="77777777" w:rsidR="008D79D0" w:rsidRPr="00AD1C18" w:rsidRDefault="008D79D0" w:rsidP="008D79D0">
      <w:pPr>
        <w:spacing w:after="0"/>
        <w:rPr>
          <w:rFonts w:cstheme="minorHAnsi"/>
          <w:b/>
          <w:bCs/>
        </w:rPr>
      </w:pPr>
      <w:r w:rsidRPr="00AD1C18">
        <w:rPr>
          <w:rFonts w:cstheme="minorHAnsi"/>
          <w:b/>
          <w:bCs/>
        </w:rPr>
        <w:t xml:space="preserve">Pasākumi </w:t>
      </w:r>
      <w:r w:rsidR="001E4B6A" w:rsidRPr="00AD1C18">
        <w:rPr>
          <w:rFonts w:cstheme="minorHAnsi"/>
          <w:b/>
          <w:bCs/>
        </w:rPr>
        <w:t>S</w:t>
      </w:r>
      <w:r w:rsidRPr="00AD1C18">
        <w:rPr>
          <w:rFonts w:cstheme="minorHAnsi"/>
          <w:b/>
          <w:bCs/>
        </w:rPr>
        <w:t>abiedrības darbības efektivitātes uzlabošanā</w:t>
      </w:r>
    </w:p>
    <w:p w14:paraId="5210CA22" w14:textId="77777777" w:rsidR="00637D6C" w:rsidRPr="00D509A7" w:rsidRDefault="00637D6C" w:rsidP="00637D6C">
      <w:pPr>
        <w:shd w:val="clear" w:color="auto" w:fill="FFFFFF"/>
        <w:spacing w:before="100" w:beforeAutospacing="1" w:after="100" w:afterAutospacing="1" w:line="240" w:lineRule="auto"/>
        <w:jc w:val="both"/>
      </w:pPr>
      <w:r w:rsidRPr="00AD1C18">
        <w:rPr>
          <w:rFonts w:cstheme="minorHAnsi"/>
        </w:rPr>
        <w:t>Lai efektīvi un lietderīgi izmantotu resursus, pilnveidotu, ieviestu un attīstītu procesus, kas vērsti uz  nepārtrauktu pakalpojuma kvalitātes uzlabošanu bērnu psihiatrijas nodaļā, no 2021. gada janvāra uzsākts ieviest LEAN metodi bērnu psihiatrijas nodaļas vides sakārtošanā un procesu uzlabošanā.  Pēc LEAN principiem ir izveidots tāds nodaļas plānojuma projekts, lai darba procesā neradītu liekas darbības, optimizētu personālu tieši tur, kur tas visvairāk ir nepieciešams, lai</w:t>
      </w:r>
      <w:r w:rsidRPr="00D509A7">
        <w:t xml:space="preserve"> nodrošinātu pacientu drošību,  novērstu krišanas riskus, uzlabotu funkcionalitāti un atvieglotu vides pieejamību kā arī komfortu pakalpojuma saņēmējam. 2022. gadā LEAN projekts turpinās.</w:t>
      </w:r>
    </w:p>
    <w:p w14:paraId="0DE10DD0" w14:textId="5C69F135" w:rsidR="00F5591A" w:rsidRDefault="00F5591A" w:rsidP="00712DD6">
      <w:pPr>
        <w:spacing w:before="100" w:beforeAutospacing="1" w:after="100" w:afterAutospacing="1"/>
        <w:jc w:val="both"/>
        <w:rPr>
          <w:rFonts w:cstheme="minorHAnsi"/>
        </w:rPr>
      </w:pPr>
      <w:r w:rsidRPr="003D07A2">
        <w:rPr>
          <w:rFonts w:cstheme="minorHAnsi"/>
        </w:rPr>
        <w:t xml:space="preserve">Sabiedrība turpina nodrošināt medikamentu aprites elektroniskās uzskaites sistēmas (Palma </w:t>
      </w:r>
      <w:proofErr w:type="spellStart"/>
      <w:r w:rsidRPr="003D07A2">
        <w:rPr>
          <w:rFonts w:cstheme="minorHAnsi"/>
        </w:rPr>
        <w:t>medical</w:t>
      </w:r>
      <w:proofErr w:type="spellEnd"/>
      <w:r w:rsidRPr="003D07A2">
        <w:rPr>
          <w:rFonts w:cstheme="minorHAnsi"/>
        </w:rPr>
        <w:t>) izmantošanu.</w:t>
      </w:r>
    </w:p>
    <w:p w14:paraId="6757783C" w14:textId="24BF29E8" w:rsidR="00D509A7" w:rsidRDefault="00D509A7" w:rsidP="00712DD6">
      <w:pPr>
        <w:spacing w:before="100" w:beforeAutospacing="1" w:after="100" w:afterAutospacing="1"/>
        <w:jc w:val="both"/>
        <w:rPr>
          <w:rFonts w:cstheme="minorHAnsi"/>
        </w:rPr>
      </w:pPr>
      <w:r>
        <w:rPr>
          <w:rFonts w:cstheme="minorHAnsi"/>
        </w:rPr>
        <w:t xml:space="preserve">Pārskata periodā </w:t>
      </w:r>
      <w:r w:rsidR="000C22A0">
        <w:rPr>
          <w:rFonts w:cstheme="minorHAnsi"/>
        </w:rPr>
        <w:t xml:space="preserve">adaptēta DVS </w:t>
      </w:r>
      <w:r w:rsidR="006828BB">
        <w:rPr>
          <w:rFonts w:cstheme="minorHAnsi"/>
        </w:rPr>
        <w:t>Namejs un uzsākta tā lietošana administrācijā.</w:t>
      </w:r>
    </w:p>
    <w:p w14:paraId="0DDB9BA3" w14:textId="77777777" w:rsidR="00F5591A" w:rsidRPr="003D07A2" w:rsidRDefault="00F5591A" w:rsidP="00712DD6">
      <w:pPr>
        <w:spacing w:before="100" w:beforeAutospacing="1" w:after="100" w:afterAutospacing="1"/>
        <w:jc w:val="both"/>
        <w:rPr>
          <w:rFonts w:cstheme="minorHAnsi"/>
        </w:rPr>
      </w:pPr>
      <w:r w:rsidRPr="003D07A2">
        <w:rPr>
          <w:rFonts w:cstheme="minorHAnsi"/>
        </w:rPr>
        <w:t>Vadības līmenī tiek pielietots datu analīzes rīks BI.</w:t>
      </w:r>
    </w:p>
    <w:p w14:paraId="44E50BFD" w14:textId="337DFF47" w:rsidR="00764CA2" w:rsidRPr="003D07A2" w:rsidRDefault="00E56624" w:rsidP="00E17F62">
      <w:pPr>
        <w:pStyle w:val="Sarakstarindkopa"/>
        <w:spacing w:after="0"/>
        <w:ind w:left="0"/>
        <w:rPr>
          <w:rFonts w:cstheme="minorHAnsi"/>
        </w:rPr>
      </w:pPr>
      <w:r w:rsidRPr="003D07A2">
        <w:rPr>
          <w:rFonts w:cstheme="minorHAnsi"/>
        </w:rPr>
        <w:t xml:space="preserve">Sabiedrība veic regulāru kvalitātes un darbības efektivitātes rādītāju </w:t>
      </w:r>
      <w:proofErr w:type="spellStart"/>
      <w:r w:rsidRPr="003D07A2">
        <w:rPr>
          <w:rFonts w:cstheme="minorHAnsi"/>
        </w:rPr>
        <w:t>monitorēšanu</w:t>
      </w:r>
      <w:proofErr w:type="spellEnd"/>
      <w:r w:rsidRPr="003D07A2">
        <w:rPr>
          <w:rFonts w:cstheme="minorHAnsi"/>
        </w:rPr>
        <w:t xml:space="preserve">, analīzi un </w:t>
      </w:r>
      <w:proofErr w:type="spellStart"/>
      <w:r w:rsidRPr="003D07A2">
        <w:rPr>
          <w:rFonts w:cstheme="minorHAnsi"/>
        </w:rPr>
        <w:t>dizainēšanu</w:t>
      </w:r>
      <w:proofErr w:type="spellEnd"/>
      <w:r w:rsidRPr="003D07A2">
        <w:rPr>
          <w:rFonts w:cstheme="minorHAnsi"/>
        </w:rPr>
        <w:t xml:space="preserve"> atbildīgo speciālistu līmeņos.</w:t>
      </w:r>
    </w:p>
    <w:p w14:paraId="4FFC3200" w14:textId="77777777" w:rsidR="003D07A2" w:rsidRDefault="003D07A2" w:rsidP="008D79D0">
      <w:pPr>
        <w:spacing w:after="0"/>
        <w:rPr>
          <w:rFonts w:cstheme="minorHAnsi"/>
          <w:b/>
          <w:bCs/>
        </w:rPr>
      </w:pPr>
    </w:p>
    <w:p w14:paraId="26659A7C" w14:textId="77777777" w:rsidR="001A5614" w:rsidRDefault="001A5614" w:rsidP="008D79D0">
      <w:pPr>
        <w:spacing w:after="0"/>
        <w:rPr>
          <w:rFonts w:cstheme="minorHAnsi"/>
          <w:b/>
          <w:bCs/>
        </w:rPr>
      </w:pPr>
    </w:p>
    <w:p w14:paraId="2B12DC6B" w14:textId="77777777" w:rsidR="001A5614" w:rsidRDefault="001A5614" w:rsidP="008D79D0">
      <w:pPr>
        <w:spacing w:after="0"/>
        <w:rPr>
          <w:rFonts w:cstheme="minorHAnsi"/>
          <w:b/>
          <w:bCs/>
        </w:rPr>
      </w:pPr>
    </w:p>
    <w:p w14:paraId="68B5519F" w14:textId="22E44AB6" w:rsidR="008D79D0" w:rsidRPr="003D07A2" w:rsidRDefault="008D79D0" w:rsidP="008D79D0">
      <w:pPr>
        <w:spacing w:after="0"/>
        <w:rPr>
          <w:rFonts w:cstheme="minorHAnsi"/>
          <w:b/>
          <w:bCs/>
        </w:rPr>
      </w:pPr>
      <w:r w:rsidRPr="003D07A2">
        <w:rPr>
          <w:rFonts w:cstheme="minorHAnsi"/>
          <w:b/>
          <w:bCs/>
        </w:rPr>
        <w:t>Ieteikumi Sabiedrības turpmākās darbības uzlabošanai un risku mazināšanai</w:t>
      </w:r>
    </w:p>
    <w:p w14:paraId="6F8A06DC" w14:textId="77777777" w:rsidR="00F5591A" w:rsidRPr="003D07A2" w:rsidRDefault="00F5591A" w:rsidP="00086EA7">
      <w:pPr>
        <w:spacing w:before="100" w:beforeAutospacing="1" w:after="100" w:afterAutospacing="1"/>
        <w:jc w:val="both"/>
        <w:rPr>
          <w:rFonts w:cstheme="minorHAnsi"/>
        </w:rPr>
      </w:pPr>
      <w:r w:rsidRPr="003D07A2">
        <w:rPr>
          <w:rFonts w:cstheme="minorHAnsi"/>
        </w:rPr>
        <w:t>Sabiedrība turpina mērķtiecīgi veikt galveno procesu analīzi, lai savlaicīgi identificētu riskus, to līmeni un iespējamo ietekmi.</w:t>
      </w:r>
    </w:p>
    <w:p w14:paraId="1D361292" w14:textId="568C1A07" w:rsidR="008D79D0" w:rsidRPr="003D07A2" w:rsidRDefault="00F5591A" w:rsidP="00086EA7">
      <w:pPr>
        <w:spacing w:before="100" w:beforeAutospacing="1" w:after="100" w:afterAutospacing="1"/>
        <w:jc w:val="both"/>
        <w:rPr>
          <w:rFonts w:cstheme="minorHAnsi"/>
        </w:rPr>
      </w:pPr>
      <w:r w:rsidRPr="003D07A2">
        <w:rPr>
          <w:rFonts w:cstheme="minorHAnsi"/>
        </w:rPr>
        <w:t>Notiek nepārtraukta Sabiedrībā nodarbināto noslodzes efektivitātes pārraudzīšana, lai samazinātu virsstundu rašanos riskus</w:t>
      </w:r>
      <w:r w:rsidR="0079478C" w:rsidRPr="003D07A2">
        <w:rPr>
          <w:rFonts w:cstheme="minorHAnsi"/>
        </w:rPr>
        <w:t>, kā arī kontrolētu cilvēkresursu efektīvu izmantošanu.</w:t>
      </w:r>
    </w:p>
    <w:p w14:paraId="3E732D33" w14:textId="77777777" w:rsidR="00F5591A" w:rsidRPr="003D07A2" w:rsidRDefault="00F5591A" w:rsidP="00086EA7">
      <w:pPr>
        <w:spacing w:before="100" w:beforeAutospacing="1" w:after="100" w:afterAutospacing="1"/>
        <w:jc w:val="both"/>
        <w:rPr>
          <w:rFonts w:cstheme="minorHAnsi"/>
        </w:rPr>
      </w:pPr>
      <w:r w:rsidRPr="003D07A2">
        <w:rPr>
          <w:rFonts w:cstheme="minorHAnsi"/>
        </w:rPr>
        <w:t xml:space="preserve">Tiek </w:t>
      </w:r>
      <w:proofErr w:type="spellStart"/>
      <w:r w:rsidRPr="003D07A2">
        <w:rPr>
          <w:rFonts w:cstheme="minorHAnsi"/>
        </w:rPr>
        <w:t>monitorēti</w:t>
      </w:r>
      <w:proofErr w:type="spellEnd"/>
      <w:r w:rsidRPr="003D07A2">
        <w:rPr>
          <w:rFonts w:cstheme="minorHAnsi"/>
        </w:rPr>
        <w:t xml:space="preserve"> pakalpojumu sniegšanas efektivitātes rādītāji un veikta pakalpojuma uzskaites dokumentu analīze un kvalitātes kontrole.</w:t>
      </w:r>
    </w:p>
    <w:sectPr w:rsidR="00F5591A" w:rsidRPr="003D07A2" w:rsidSect="00C06C05">
      <w:footerReference w:type="default" r:id="rId9"/>
      <w:pgSz w:w="11906" w:h="16838" w:code="9"/>
      <w:pgMar w:top="1304" w:right="1700"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A25E" w14:textId="77777777" w:rsidR="003A05E6" w:rsidRDefault="003A05E6" w:rsidP="00AE3541">
      <w:pPr>
        <w:spacing w:after="0" w:line="240" w:lineRule="auto"/>
      </w:pPr>
      <w:r>
        <w:separator/>
      </w:r>
    </w:p>
  </w:endnote>
  <w:endnote w:type="continuationSeparator" w:id="0">
    <w:p w14:paraId="2217A6AA" w14:textId="77777777" w:rsidR="003A05E6" w:rsidRDefault="003A05E6" w:rsidP="00AE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864"/>
      <w:docPartObj>
        <w:docPartGallery w:val="Page Numbers (Bottom of Page)"/>
        <w:docPartUnique/>
      </w:docPartObj>
    </w:sdtPr>
    <w:sdtEndPr/>
    <w:sdtContent>
      <w:p w14:paraId="17FFC8B8" w14:textId="77777777" w:rsidR="008328C0" w:rsidRDefault="008328C0">
        <w:pPr>
          <w:pStyle w:val="Kjene"/>
          <w:jc w:val="center"/>
        </w:pPr>
        <w:r>
          <w:fldChar w:fldCharType="begin"/>
        </w:r>
        <w:r>
          <w:instrText>PAGE   \* MERGEFORMAT</w:instrText>
        </w:r>
        <w:r>
          <w:fldChar w:fldCharType="separate"/>
        </w:r>
        <w:r>
          <w:rPr>
            <w:noProof/>
          </w:rPr>
          <w:t>2</w:t>
        </w:r>
        <w:r>
          <w:fldChar w:fldCharType="end"/>
        </w:r>
      </w:p>
    </w:sdtContent>
  </w:sdt>
  <w:p w14:paraId="4AC3EEEB" w14:textId="77777777" w:rsidR="008328C0" w:rsidRDefault="008328C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039C" w14:textId="77777777" w:rsidR="003A05E6" w:rsidRDefault="003A05E6" w:rsidP="00AE3541">
      <w:pPr>
        <w:spacing w:after="0" w:line="240" w:lineRule="auto"/>
      </w:pPr>
      <w:r>
        <w:separator/>
      </w:r>
    </w:p>
  </w:footnote>
  <w:footnote w:type="continuationSeparator" w:id="0">
    <w:p w14:paraId="1981FE70" w14:textId="77777777" w:rsidR="003A05E6" w:rsidRDefault="003A05E6" w:rsidP="00AE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6A2B"/>
    <w:multiLevelType w:val="hybridMultilevel"/>
    <w:tmpl w:val="BF221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E42B61"/>
    <w:multiLevelType w:val="hybridMultilevel"/>
    <w:tmpl w:val="E45A1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676796"/>
    <w:multiLevelType w:val="hybridMultilevel"/>
    <w:tmpl w:val="796C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99569D"/>
    <w:multiLevelType w:val="hybridMultilevel"/>
    <w:tmpl w:val="130053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EF5857"/>
    <w:multiLevelType w:val="hybridMultilevel"/>
    <w:tmpl w:val="2CC870C0"/>
    <w:lvl w:ilvl="0" w:tplc="BA000A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E308D2"/>
    <w:multiLevelType w:val="hybridMultilevel"/>
    <w:tmpl w:val="B596B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01732A"/>
    <w:multiLevelType w:val="hybridMultilevel"/>
    <w:tmpl w:val="D0168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F30224"/>
    <w:multiLevelType w:val="hybridMultilevel"/>
    <w:tmpl w:val="A3B612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F52003"/>
    <w:multiLevelType w:val="hybridMultilevel"/>
    <w:tmpl w:val="C95A3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77942027">
    <w:abstractNumId w:val="0"/>
  </w:num>
  <w:num w:numId="2" w16cid:durableId="1522165412">
    <w:abstractNumId w:val="7"/>
  </w:num>
  <w:num w:numId="3" w16cid:durableId="994335056">
    <w:abstractNumId w:val="5"/>
  </w:num>
  <w:num w:numId="4" w16cid:durableId="1547449695">
    <w:abstractNumId w:val="1"/>
  </w:num>
  <w:num w:numId="5" w16cid:durableId="1483767105">
    <w:abstractNumId w:val="6"/>
  </w:num>
  <w:num w:numId="6" w16cid:durableId="1731465913">
    <w:abstractNumId w:val="8"/>
  </w:num>
  <w:num w:numId="7" w16cid:durableId="363870209">
    <w:abstractNumId w:val="4"/>
  </w:num>
  <w:num w:numId="8" w16cid:durableId="290552203">
    <w:abstractNumId w:val="3"/>
  </w:num>
  <w:num w:numId="9" w16cid:durableId="145386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D0"/>
    <w:rsid w:val="0000188E"/>
    <w:rsid w:val="000027E0"/>
    <w:rsid w:val="00005BDD"/>
    <w:rsid w:val="00013768"/>
    <w:rsid w:val="00016C25"/>
    <w:rsid w:val="0001742B"/>
    <w:rsid w:val="00021117"/>
    <w:rsid w:val="00027DF4"/>
    <w:rsid w:val="00033934"/>
    <w:rsid w:val="0003762A"/>
    <w:rsid w:val="00040088"/>
    <w:rsid w:val="00040C1E"/>
    <w:rsid w:val="000421E2"/>
    <w:rsid w:val="00061C66"/>
    <w:rsid w:val="00062455"/>
    <w:rsid w:val="00063ED5"/>
    <w:rsid w:val="000714B1"/>
    <w:rsid w:val="00073F64"/>
    <w:rsid w:val="00075905"/>
    <w:rsid w:val="00080CEB"/>
    <w:rsid w:val="00086188"/>
    <w:rsid w:val="00086EA7"/>
    <w:rsid w:val="00091868"/>
    <w:rsid w:val="00095CF4"/>
    <w:rsid w:val="000A70AD"/>
    <w:rsid w:val="000A7392"/>
    <w:rsid w:val="000B51FF"/>
    <w:rsid w:val="000C0B25"/>
    <w:rsid w:val="000C22A0"/>
    <w:rsid w:val="000C4877"/>
    <w:rsid w:val="000C4CC7"/>
    <w:rsid w:val="000C54E5"/>
    <w:rsid w:val="000C56ED"/>
    <w:rsid w:val="000C65B8"/>
    <w:rsid w:val="000D63B5"/>
    <w:rsid w:val="000E462B"/>
    <w:rsid w:val="000F5E1B"/>
    <w:rsid w:val="000F64FC"/>
    <w:rsid w:val="00100A69"/>
    <w:rsid w:val="0010757F"/>
    <w:rsid w:val="00112F4B"/>
    <w:rsid w:val="00120223"/>
    <w:rsid w:val="001248A7"/>
    <w:rsid w:val="00125F27"/>
    <w:rsid w:val="00130752"/>
    <w:rsid w:val="00134399"/>
    <w:rsid w:val="00135C75"/>
    <w:rsid w:val="001361A6"/>
    <w:rsid w:val="00137EBF"/>
    <w:rsid w:val="00141D57"/>
    <w:rsid w:val="00142477"/>
    <w:rsid w:val="00156676"/>
    <w:rsid w:val="001579A3"/>
    <w:rsid w:val="00161601"/>
    <w:rsid w:val="001629FA"/>
    <w:rsid w:val="00170195"/>
    <w:rsid w:val="001739AA"/>
    <w:rsid w:val="00174D8C"/>
    <w:rsid w:val="00175436"/>
    <w:rsid w:val="00176BE6"/>
    <w:rsid w:val="0018783C"/>
    <w:rsid w:val="001905D0"/>
    <w:rsid w:val="001965DD"/>
    <w:rsid w:val="001A1F1C"/>
    <w:rsid w:val="001A2651"/>
    <w:rsid w:val="001A5614"/>
    <w:rsid w:val="001A6540"/>
    <w:rsid w:val="001A65E1"/>
    <w:rsid w:val="001A7697"/>
    <w:rsid w:val="001B1154"/>
    <w:rsid w:val="001B6F79"/>
    <w:rsid w:val="001C2307"/>
    <w:rsid w:val="001C5AF4"/>
    <w:rsid w:val="001C6736"/>
    <w:rsid w:val="001D137C"/>
    <w:rsid w:val="001D2AFE"/>
    <w:rsid w:val="001D3059"/>
    <w:rsid w:val="001E07AC"/>
    <w:rsid w:val="001E4B6A"/>
    <w:rsid w:val="001E59ED"/>
    <w:rsid w:val="001E5DA4"/>
    <w:rsid w:val="001E740D"/>
    <w:rsid w:val="001F17FA"/>
    <w:rsid w:val="001F4B5F"/>
    <w:rsid w:val="00201744"/>
    <w:rsid w:val="00210E88"/>
    <w:rsid w:val="002138EC"/>
    <w:rsid w:val="00215612"/>
    <w:rsid w:val="00216373"/>
    <w:rsid w:val="00216461"/>
    <w:rsid w:val="00221F34"/>
    <w:rsid w:val="002239F0"/>
    <w:rsid w:val="00226245"/>
    <w:rsid w:val="00234BEE"/>
    <w:rsid w:val="00247359"/>
    <w:rsid w:val="00247631"/>
    <w:rsid w:val="0024783B"/>
    <w:rsid w:val="00260E2C"/>
    <w:rsid w:val="00262ACA"/>
    <w:rsid w:val="00267BEC"/>
    <w:rsid w:val="00271864"/>
    <w:rsid w:val="00271992"/>
    <w:rsid w:val="0027224E"/>
    <w:rsid w:val="0027263A"/>
    <w:rsid w:val="00272744"/>
    <w:rsid w:val="00282B20"/>
    <w:rsid w:val="0028660C"/>
    <w:rsid w:val="00291EE3"/>
    <w:rsid w:val="002923E6"/>
    <w:rsid w:val="002978D0"/>
    <w:rsid w:val="002A6BBB"/>
    <w:rsid w:val="002B56EE"/>
    <w:rsid w:val="002B638C"/>
    <w:rsid w:val="002B7C69"/>
    <w:rsid w:val="002C17FC"/>
    <w:rsid w:val="002C63E4"/>
    <w:rsid w:val="002D287B"/>
    <w:rsid w:val="002D51AD"/>
    <w:rsid w:val="002D5F2E"/>
    <w:rsid w:val="002D7163"/>
    <w:rsid w:val="002E325E"/>
    <w:rsid w:val="002E35F5"/>
    <w:rsid w:val="002E41B5"/>
    <w:rsid w:val="002E5B69"/>
    <w:rsid w:val="002F39B7"/>
    <w:rsid w:val="002F6718"/>
    <w:rsid w:val="00307DD3"/>
    <w:rsid w:val="00313B92"/>
    <w:rsid w:val="003155EB"/>
    <w:rsid w:val="00316600"/>
    <w:rsid w:val="00316C27"/>
    <w:rsid w:val="00327B4A"/>
    <w:rsid w:val="003328C9"/>
    <w:rsid w:val="00334DEF"/>
    <w:rsid w:val="00342F7E"/>
    <w:rsid w:val="00343774"/>
    <w:rsid w:val="00344625"/>
    <w:rsid w:val="0034762E"/>
    <w:rsid w:val="003513D9"/>
    <w:rsid w:val="0035297D"/>
    <w:rsid w:val="00354A67"/>
    <w:rsid w:val="00365802"/>
    <w:rsid w:val="00367A28"/>
    <w:rsid w:val="0037201A"/>
    <w:rsid w:val="003747C0"/>
    <w:rsid w:val="00383E06"/>
    <w:rsid w:val="003902AE"/>
    <w:rsid w:val="00391980"/>
    <w:rsid w:val="0039563C"/>
    <w:rsid w:val="003A05E6"/>
    <w:rsid w:val="003A1BEE"/>
    <w:rsid w:val="003A67FB"/>
    <w:rsid w:val="003B1EDB"/>
    <w:rsid w:val="003B6F4C"/>
    <w:rsid w:val="003B7B57"/>
    <w:rsid w:val="003C24D1"/>
    <w:rsid w:val="003C5B10"/>
    <w:rsid w:val="003D07A2"/>
    <w:rsid w:val="003D501A"/>
    <w:rsid w:val="003D5327"/>
    <w:rsid w:val="003E2E25"/>
    <w:rsid w:val="003F4B57"/>
    <w:rsid w:val="003F5B24"/>
    <w:rsid w:val="003F5E80"/>
    <w:rsid w:val="003F7E76"/>
    <w:rsid w:val="004017D5"/>
    <w:rsid w:val="00402B61"/>
    <w:rsid w:val="00402FF5"/>
    <w:rsid w:val="00405BE7"/>
    <w:rsid w:val="00414774"/>
    <w:rsid w:val="00415B98"/>
    <w:rsid w:val="004172BB"/>
    <w:rsid w:val="00417F90"/>
    <w:rsid w:val="004206FA"/>
    <w:rsid w:val="00422E36"/>
    <w:rsid w:val="004236A1"/>
    <w:rsid w:val="0042644D"/>
    <w:rsid w:val="004310DC"/>
    <w:rsid w:val="00432D5C"/>
    <w:rsid w:val="00433243"/>
    <w:rsid w:val="00435414"/>
    <w:rsid w:val="00441AC0"/>
    <w:rsid w:val="004432A2"/>
    <w:rsid w:val="0044777C"/>
    <w:rsid w:val="00450855"/>
    <w:rsid w:val="0045173A"/>
    <w:rsid w:val="0045635D"/>
    <w:rsid w:val="00456444"/>
    <w:rsid w:val="004647B7"/>
    <w:rsid w:val="00465289"/>
    <w:rsid w:val="0046609C"/>
    <w:rsid w:val="00491DF2"/>
    <w:rsid w:val="004923F9"/>
    <w:rsid w:val="00496AAF"/>
    <w:rsid w:val="004A0A94"/>
    <w:rsid w:val="004A49EF"/>
    <w:rsid w:val="004A4E51"/>
    <w:rsid w:val="004A570C"/>
    <w:rsid w:val="004A5C04"/>
    <w:rsid w:val="004B22A1"/>
    <w:rsid w:val="004B2445"/>
    <w:rsid w:val="004B2D36"/>
    <w:rsid w:val="004B4C65"/>
    <w:rsid w:val="004B54FF"/>
    <w:rsid w:val="004C21C0"/>
    <w:rsid w:val="004C3A10"/>
    <w:rsid w:val="004C5154"/>
    <w:rsid w:val="004C5AC1"/>
    <w:rsid w:val="004D2C12"/>
    <w:rsid w:val="004D322D"/>
    <w:rsid w:val="004D3744"/>
    <w:rsid w:val="004D4E73"/>
    <w:rsid w:val="004D5EDD"/>
    <w:rsid w:val="004D60C1"/>
    <w:rsid w:val="004E128E"/>
    <w:rsid w:val="004F2C1F"/>
    <w:rsid w:val="004F5DCF"/>
    <w:rsid w:val="00511CDB"/>
    <w:rsid w:val="00520ECD"/>
    <w:rsid w:val="00520EE7"/>
    <w:rsid w:val="005252D7"/>
    <w:rsid w:val="0052610E"/>
    <w:rsid w:val="00530C9C"/>
    <w:rsid w:val="005320B4"/>
    <w:rsid w:val="00534B1F"/>
    <w:rsid w:val="005362F9"/>
    <w:rsid w:val="00536756"/>
    <w:rsid w:val="0054099A"/>
    <w:rsid w:val="00541129"/>
    <w:rsid w:val="005450BF"/>
    <w:rsid w:val="00545AE6"/>
    <w:rsid w:val="00547A3E"/>
    <w:rsid w:val="00552117"/>
    <w:rsid w:val="00563197"/>
    <w:rsid w:val="00564D0C"/>
    <w:rsid w:val="005663B4"/>
    <w:rsid w:val="00567D8F"/>
    <w:rsid w:val="0057081B"/>
    <w:rsid w:val="00574337"/>
    <w:rsid w:val="00574630"/>
    <w:rsid w:val="0058186F"/>
    <w:rsid w:val="00587186"/>
    <w:rsid w:val="005A3CF1"/>
    <w:rsid w:val="005B10C0"/>
    <w:rsid w:val="005B2161"/>
    <w:rsid w:val="005B3617"/>
    <w:rsid w:val="005C7D39"/>
    <w:rsid w:val="005D4047"/>
    <w:rsid w:val="005E0954"/>
    <w:rsid w:val="005E0B55"/>
    <w:rsid w:val="005E2D36"/>
    <w:rsid w:val="005E487D"/>
    <w:rsid w:val="005E557B"/>
    <w:rsid w:val="005E78D0"/>
    <w:rsid w:val="005F0851"/>
    <w:rsid w:val="005F2442"/>
    <w:rsid w:val="005F5952"/>
    <w:rsid w:val="0060030B"/>
    <w:rsid w:val="006011CC"/>
    <w:rsid w:val="00603C3A"/>
    <w:rsid w:val="00604722"/>
    <w:rsid w:val="00605564"/>
    <w:rsid w:val="00606377"/>
    <w:rsid w:val="00607F92"/>
    <w:rsid w:val="006159D9"/>
    <w:rsid w:val="00616015"/>
    <w:rsid w:val="0062116C"/>
    <w:rsid w:val="0063195A"/>
    <w:rsid w:val="006326D0"/>
    <w:rsid w:val="00634040"/>
    <w:rsid w:val="006354B0"/>
    <w:rsid w:val="00637D6C"/>
    <w:rsid w:val="00641ABD"/>
    <w:rsid w:val="0064485E"/>
    <w:rsid w:val="00660C13"/>
    <w:rsid w:val="00661F0C"/>
    <w:rsid w:val="0066262A"/>
    <w:rsid w:val="00666388"/>
    <w:rsid w:val="00670399"/>
    <w:rsid w:val="00670C15"/>
    <w:rsid w:val="00670C29"/>
    <w:rsid w:val="006828BB"/>
    <w:rsid w:val="00687F12"/>
    <w:rsid w:val="00691905"/>
    <w:rsid w:val="006935D2"/>
    <w:rsid w:val="006957FF"/>
    <w:rsid w:val="006A010D"/>
    <w:rsid w:val="006A4D76"/>
    <w:rsid w:val="006A58C0"/>
    <w:rsid w:val="006A5EFC"/>
    <w:rsid w:val="006B2C14"/>
    <w:rsid w:val="006B30FA"/>
    <w:rsid w:val="006B69E7"/>
    <w:rsid w:val="006B7F89"/>
    <w:rsid w:val="006D677B"/>
    <w:rsid w:val="006E19E2"/>
    <w:rsid w:val="006E37EF"/>
    <w:rsid w:val="006E39D8"/>
    <w:rsid w:val="006E705D"/>
    <w:rsid w:val="006E71A3"/>
    <w:rsid w:val="006E7B7A"/>
    <w:rsid w:val="006F4D5B"/>
    <w:rsid w:val="006F5F3B"/>
    <w:rsid w:val="00700971"/>
    <w:rsid w:val="00712DD6"/>
    <w:rsid w:val="00721D41"/>
    <w:rsid w:val="00731075"/>
    <w:rsid w:val="0073779C"/>
    <w:rsid w:val="00752234"/>
    <w:rsid w:val="00753BAA"/>
    <w:rsid w:val="00763307"/>
    <w:rsid w:val="00764CA2"/>
    <w:rsid w:val="0076598A"/>
    <w:rsid w:val="00772971"/>
    <w:rsid w:val="007764E2"/>
    <w:rsid w:val="00776C75"/>
    <w:rsid w:val="00781C1D"/>
    <w:rsid w:val="0079181E"/>
    <w:rsid w:val="007945B4"/>
    <w:rsid w:val="0079478C"/>
    <w:rsid w:val="007A3DC7"/>
    <w:rsid w:val="007A4901"/>
    <w:rsid w:val="007B12D7"/>
    <w:rsid w:val="007B2D77"/>
    <w:rsid w:val="007B5DB1"/>
    <w:rsid w:val="007C2B8B"/>
    <w:rsid w:val="007C331E"/>
    <w:rsid w:val="007D2D76"/>
    <w:rsid w:val="007D55F8"/>
    <w:rsid w:val="007E2DD5"/>
    <w:rsid w:val="007E4096"/>
    <w:rsid w:val="007E4C76"/>
    <w:rsid w:val="007E68E3"/>
    <w:rsid w:val="007E6EF7"/>
    <w:rsid w:val="007F2376"/>
    <w:rsid w:val="007F5165"/>
    <w:rsid w:val="00801C0D"/>
    <w:rsid w:val="00802D06"/>
    <w:rsid w:val="00804642"/>
    <w:rsid w:val="008112E1"/>
    <w:rsid w:val="00811C33"/>
    <w:rsid w:val="008212F0"/>
    <w:rsid w:val="008328C0"/>
    <w:rsid w:val="00835246"/>
    <w:rsid w:val="00840652"/>
    <w:rsid w:val="00841CE5"/>
    <w:rsid w:val="00841E84"/>
    <w:rsid w:val="00847A61"/>
    <w:rsid w:val="0085559D"/>
    <w:rsid w:val="008558D6"/>
    <w:rsid w:val="008561A4"/>
    <w:rsid w:val="0086182B"/>
    <w:rsid w:val="00863730"/>
    <w:rsid w:val="00867F38"/>
    <w:rsid w:val="008709B5"/>
    <w:rsid w:val="008742B1"/>
    <w:rsid w:val="00881070"/>
    <w:rsid w:val="008817E2"/>
    <w:rsid w:val="00882AA9"/>
    <w:rsid w:val="00883458"/>
    <w:rsid w:val="00890760"/>
    <w:rsid w:val="00897D71"/>
    <w:rsid w:val="008A1BED"/>
    <w:rsid w:val="008A6332"/>
    <w:rsid w:val="008B3225"/>
    <w:rsid w:val="008D0E73"/>
    <w:rsid w:val="008D18CE"/>
    <w:rsid w:val="008D2797"/>
    <w:rsid w:val="008D79D0"/>
    <w:rsid w:val="008F3FB2"/>
    <w:rsid w:val="008F6590"/>
    <w:rsid w:val="008F70F9"/>
    <w:rsid w:val="0090161E"/>
    <w:rsid w:val="00904E6B"/>
    <w:rsid w:val="00912832"/>
    <w:rsid w:val="0091354A"/>
    <w:rsid w:val="009155AE"/>
    <w:rsid w:val="00917EEF"/>
    <w:rsid w:val="009209F4"/>
    <w:rsid w:val="00920D13"/>
    <w:rsid w:val="009211F2"/>
    <w:rsid w:val="00927074"/>
    <w:rsid w:val="00933B50"/>
    <w:rsid w:val="0093423D"/>
    <w:rsid w:val="00934362"/>
    <w:rsid w:val="009343F1"/>
    <w:rsid w:val="009359A9"/>
    <w:rsid w:val="00937CAF"/>
    <w:rsid w:val="009430DE"/>
    <w:rsid w:val="00943FBC"/>
    <w:rsid w:val="00947B67"/>
    <w:rsid w:val="009520DF"/>
    <w:rsid w:val="009536E1"/>
    <w:rsid w:val="00961829"/>
    <w:rsid w:val="00967681"/>
    <w:rsid w:val="00970816"/>
    <w:rsid w:val="0097464D"/>
    <w:rsid w:val="00974DFE"/>
    <w:rsid w:val="009750D4"/>
    <w:rsid w:val="00982A16"/>
    <w:rsid w:val="009859EA"/>
    <w:rsid w:val="00986382"/>
    <w:rsid w:val="009900B3"/>
    <w:rsid w:val="009905DE"/>
    <w:rsid w:val="009910E7"/>
    <w:rsid w:val="00991857"/>
    <w:rsid w:val="0099762F"/>
    <w:rsid w:val="009A461F"/>
    <w:rsid w:val="009A51C2"/>
    <w:rsid w:val="009A51DF"/>
    <w:rsid w:val="009A6244"/>
    <w:rsid w:val="009B4ECD"/>
    <w:rsid w:val="009B6E58"/>
    <w:rsid w:val="009B7FAF"/>
    <w:rsid w:val="009C2945"/>
    <w:rsid w:val="009C4FFD"/>
    <w:rsid w:val="009C6EAE"/>
    <w:rsid w:val="009D6C3A"/>
    <w:rsid w:val="009E46AF"/>
    <w:rsid w:val="009E7E77"/>
    <w:rsid w:val="009F137A"/>
    <w:rsid w:val="009F2A6D"/>
    <w:rsid w:val="009F6EBF"/>
    <w:rsid w:val="009F773B"/>
    <w:rsid w:val="00A017AA"/>
    <w:rsid w:val="00A06C2F"/>
    <w:rsid w:val="00A06E8B"/>
    <w:rsid w:val="00A109B8"/>
    <w:rsid w:val="00A1190D"/>
    <w:rsid w:val="00A1557D"/>
    <w:rsid w:val="00A15A56"/>
    <w:rsid w:val="00A168A3"/>
    <w:rsid w:val="00A17066"/>
    <w:rsid w:val="00A2332F"/>
    <w:rsid w:val="00A2684F"/>
    <w:rsid w:val="00A26CAA"/>
    <w:rsid w:val="00A34111"/>
    <w:rsid w:val="00A4388B"/>
    <w:rsid w:val="00A45936"/>
    <w:rsid w:val="00A45F64"/>
    <w:rsid w:val="00A46398"/>
    <w:rsid w:val="00A507DA"/>
    <w:rsid w:val="00A5539A"/>
    <w:rsid w:val="00A606ED"/>
    <w:rsid w:val="00A713C0"/>
    <w:rsid w:val="00A72671"/>
    <w:rsid w:val="00A72C00"/>
    <w:rsid w:val="00A74881"/>
    <w:rsid w:val="00A82BE6"/>
    <w:rsid w:val="00A83697"/>
    <w:rsid w:val="00A8533A"/>
    <w:rsid w:val="00A90130"/>
    <w:rsid w:val="00A924DA"/>
    <w:rsid w:val="00A979EC"/>
    <w:rsid w:val="00AA3606"/>
    <w:rsid w:val="00AA61B6"/>
    <w:rsid w:val="00AB329C"/>
    <w:rsid w:val="00AB5B66"/>
    <w:rsid w:val="00AB64DC"/>
    <w:rsid w:val="00AD1C18"/>
    <w:rsid w:val="00AD2898"/>
    <w:rsid w:val="00AD2C34"/>
    <w:rsid w:val="00AE3541"/>
    <w:rsid w:val="00AE4828"/>
    <w:rsid w:val="00AE596D"/>
    <w:rsid w:val="00AF0274"/>
    <w:rsid w:val="00AF4A79"/>
    <w:rsid w:val="00B0002E"/>
    <w:rsid w:val="00B00F7C"/>
    <w:rsid w:val="00B039BD"/>
    <w:rsid w:val="00B05E77"/>
    <w:rsid w:val="00B068D0"/>
    <w:rsid w:val="00B07DE3"/>
    <w:rsid w:val="00B102FA"/>
    <w:rsid w:val="00B10F7D"/>
    <w:rsid w:val="00B2244B"/>
    <w:rsid w:val="00B23D81"/>
    <w:rsid w:val="00B27B1F"/>
    <w:rsid w:val="00B30A53"/>
    <w:rsid w:val="00B30ADC"/>
    <w:rsid w:val="00B3257E"/>
    <w:rsid w:val="00B43CC5"/>
    <w:rsid w:val="00B44AF5"/>
    <w:rsid w:val="00B54B8A"/>
    <w:rsid w:val="00B55614"/>
    <w:rsid w:val="00B55769"/>
    <w:rsid w:val="00B56432"/>
    <w:rsid w:val="00B567A8"/>
    <w:rsid w:val="00B60126"/>
    <w:rsid w:val="00B607CC"/>
    <w:rsid w:val="00B61193"/>
    <w:rsid w:val="00B62ED8"/>
    <w:rsid w:val="00B63C01"/>
    <w:rsid w:val="00B65885"/>
    <w:rsid w:val="00B74136"/>
    <w:rsid w:val="00B77212"/>
    <w:rsid w:val="00B84A7E"/>
    <w:rsid w:val="00B85780"/>
    <w:rsid w:val="00B91966"/>
    <w:rsid w:val="00BA1E07"/>
    <w:rsid w:val="00BA21B0"/>
    <w:rsid w:val="00BA3339"/>
    <w:rsid w:val="00BA356A"/>
    <w:rsid w:val="00BA36ED"/>
    <w:rsid w:val="00BA3C6D"/>
    <w:rsid w:val="00BA53BE"/>
    <w:rsid w:val="00BA681A"/>
    <w:rsid w:val="00BB4C3C"/>
    <w:rsid w:val="00BC41B4"/>
    <w:rsid w:val="00BD227B"/>
    <w:rsid w:val="00BD589E"/>
    <w:rsid w:val="00BE0FC8"/>
    <w:rsid w:val="00BE5928"/>
    <w:rsid w:val="00BF41C5"/>
    <w:rsid w:val="00BF6DB0"/>
    <w:rsid w:val="00BF773F"/>
    <w:rsid w:val="00C060D0"/>
    <w:rsid w:val="00C06C05"/>
    <w:rsid w:val="00C14F51"/>
    <w:rsid w:val="00C15E5E"/>
    <w:rsid w:val="00C205EF"/>
    <w:rsid w:val="00C20AAA"/>
    <w:rsid w:val="00C2632C"/>
    <w:rsid w:val="00C314A5"/>
    <w:rsid w:val="00C35EA7"/>
    <w:rsid w:val="00C45F21"/>
    <w:rsid w:val="00C46A99"/>
    <w:rsid w:val="00C63979"/>
    <w:rsid w:val="00C64841"/>
    <w:rsid w:val="00C76F7C"/>
    <w:rsid w:val="00C82577"/>
    <w:rsid w:val="00C8324A"/>
    <w:rsid w:val="00CA306E"/>
    <w:rsid w:val="00CB29F7"/>
    <w:rsid w:val="00CB2BEE"/>
    <w:rsid w:val="00CC2A17"/>
    <w:rsid w:val="00CC3FF2"/>
    <w:rsid w:val="00CD38E4"/>
    <w:rsid w:val="00CE611F"/>
    <w:rsid w:val="00CF133E"/>
    <w:rsid w:val="00CF14FB"/>
    <w:rsid w:val="00CF43A2"/>
    <w:rsid w:val="00D10487"/>
    <w:rsid w:val="00D203ED"/>
    <w:rsid w:val="00D21AA3"/>
    <w:rsid w:val="00D30EAA"/>
    <w:rsid w:val="00D3117C"/>
    <w:rsid w:val="00D354FC"/>
    <w:rsid w:val="00D369CD"/>
    <w:rsid w:val="00D37E07"/>
    <w:rsid w:val="00D43C06"/>
    <w:rsid w:val="00D44D91"/>
    <w:rsid w:val="00D4540D"/>
    <w:rsid w:val="00D4732F"/>
    <w:rsid w:val="00D509A7"/>
    <w:rsid w:val="00D53842"/>
    <w:rsid w:val="00D60DED"/>
    <w:rsid w:val="00D62D6B"/>
    <w:rsid w:val="00D65665"/>
    <w:rsid w:val="00D71C86"/>
    <w:rsid w:val="00D74172"/>
    <w:rsid w:val="00D80CE1"/>
    <w:rsid w:val="00D869C9"/>
    <w:rsid w:val="00D8730F"/>
    <w:rsid w:val="00D90974"/>
    <w:rsid w:val="00D944FA"/>
    <w:rsid w:val="00D951B4"/>
    <w:rsid w:val="00D96648"/>
    <w:rsid w:val="00D96B3A"/>
    <w:rsid w:val="00D96F28"/>
    <w:rsid w:val="00D97E86"/>
    <w:rsid w:val="00DA0717"/>
    <w:rsid w:val="00DA2E49"/>
    <w:rsid w:val="00DB14C7"/>
    <w:rsid w:val="00DB1E54"/>
    <w:rsid w:val="00DB6C58"/>
    <w:rsid w:val="00DC27BF"/>
    <w:rsid w:val="00DC316E"/>
    <w:rsid w:val="00DC3E58"/>
    <w:rsid w:val="00DC5A64"/>
    <w:rsid w:val="00DD4037"/>
    <w:rsid w:val="00DD4EA8"/>
    <w:rsid w:val="00DD765C"/>
    <w:rsid w:val="00DF2D03"/>
    <w:rsid w:val="00DF66EB"/>
    <w:rsid w:val="00E01FDB"/>
    <w:rsid w:val="00E17F62"/>
    <w:rsid w:val="00E21909"/>
    <w:rsid w:val="00E24E30"/>
    <w:rsid w:val="00E36B16"/>
    <w:rsid w:val="00E36CCA"/>
    <w:rsid w:val="00E41C46"/>
    <w:rsid w:val="00E42217"/>
    <w:rsid w:val="00E52F2F"/>
    <w:rsid w:val="00E54C83"/>
    <w:rsid w:val="00E56624"/>
    <w:rsid w:val="00E61C0F"/>
    <w:rsid w:val="00E670B1"/>
    <w:rsid w:val="00E7125D"/>
    <w:rsid w:val="00E73108"/>
    <w:rsid w:val="00E74679"/>
    <w:rsid w:val="00E80533"/>
    <w:rsid w:val="00E812A8"/>
    <w:rsid w:val="00E8377F"/>
    <w:rsid w:val="00E84D52"/>
    <w:rsid w:val="00E9187E"/>
    <w:rsid w:val="00E965A8"/>
    <w:rsid w:val="00EA21A4"/>
    <w:rsid w:val="00EA6462"/>
    <w:rsid w:val="00EA7B1D"/>
    <w:rsid w:val="00EB3D04"/>
    <w:rsid w:val="00EB7464"/>
    <w:rsid w:val="00EB78EB"/>
    <w:rsid w:val="00EC3DB4"/>
    <w:rsid w:val="00ED1BCC"/>
    <w:rsid w:val="00EE2123"/>
    <w:rsid w:val="00EE5C93"/>
    <w:rsid w:val="00EF0A95"/>
    <w:rsid w:val="00EF4563"/>
    <w:rsid w:val="00EF63DD"/>
    <w:rsid w:val="00EF702F"/>
    <w:rsid w:val="00F024E7"/>
    <w:rsid w:val="00F06CE0"/>
    <w:rsid w:val="00F072BE"/>
    <w:rsid w:val="00F24043"/>
    <w:rsid w:val="00F327AA"/>
    <w:rsid w:val="00F32EF1"/>
    <w:rsid w:val="00F33231"/>
    <w:rsid w:val="00F42F95"/>
    <w:rsid w:val="00F45722"/>
    <w:rsid w:val="00F469E9"/>
    <w:rsid w:val="00F51C13"/>
    <w:rsid w:val="00F5591A"/>
    <w:rsid w:val="00F6234A"/>
    <w:rsid w:val="00F62CC4"/>
    <w:rsid w:val="00F7045F"/>
    <w:rsid w:val="00F70E44"/>
    <w:rsid w:val="00F72449"/>
    <w:rsid w:val="00F83008"/>
    <w:rsid w:val="00F84287"/>
    <w:rsid w:val="00F852EB"/>
    <w:rsid w:val="00F85A1A"/>
    <w:rsid w:val="00F97D96"/>
    <w:rsid w:val="00FA02BC"/>
    <w:rsid w:val="00FA2AE6"/>
    <w:rsid w:val="00FA2B4E"/>
    <w:rsid w:val="00FA3F50"/>
    <w:rsid w:val="00FB102D"/>
    <w:rsid w:val="00FB283F"/>
    <w:rsid w:val="00FB73EE"/>
    <w:rsid w:val="00FC0E69"/>
    <w:rsid w:val="00FC13A1"/>
    <w:rsid w:val="00FC1EA4"/>
    <w:rsid w:val="00FC55FA"/>
    <w:rsid w:val="00FC73ED"/>
    <w:rsid w:val="00FD101A"/>
    <w:rsid w:val="00FE005A"/>
    <w:rsid w:val="00FE7578"/>
    <w:rsid w:val="00FF18B9"/>
    <w:rsid w:val="00FF399A"/>
    <w:rsid w:val="00FF4D59"/>
    <w:rsid w:val="00FF5D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898"/>
  <w15:chartTrackingRefBased/>
  <w15:docId w15:val="{DB0E05BC-099C-45CC-A021-24A41FBF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79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06C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6CE0"/>
    <w:rPr>
      <w:rFonts w:ascii="Segoe UI" w:hAnsi="Segoe UI" w:cs="Segoe UI"/>
      <w:sz w:val="18"/>
      <w:szCs w:val="18"/>
    </w:rPr>
  </w:style>
  <w:style w:type="paragraph" w:styleId="Bezatstarpm">
    <w:name w:val="No Spacing"/>
    <w:uiPriority w:val="1"/>
    <w:qFormat/>
    <w:rsid w:val="0035297D"/>
    <w:pPr>
      <w:spacing w:after="0" w:line="240" w:lineRule="auto"/>
    </w:pPr>
    <w:rPr>
      <w:rFonts w:ascii="Calibri" w:eastAsia="Calibri" w:hAnsi="Calibri" w:cs="Times New Roman"/>
    </w:rPr>
  </w:style>
  <w:style w:type="paragraph" w:customStyle="1" w:styleId="apakvsirsraksts2">
    <w:name w:val="apakvsirsraksts 2"/>
    <w:basedOn w:val="Parasts"/>
    <w:link w:val="apakvsirsraksts2Rakstz"/>
    <w:qFormat/>
    <w:rsid w:val="009C2945"/>
    <w:rPr>
      <w:b/>
      <w:u w:val="single"/>
    </w:rPr>
  </w:style>
  <w:style w:type="character" w:customStyle="1" w:styleId="apakvsirsraksts2Rakstz">
    <w:name w:val="apakvsirsraksts 2 Rakstz."/>
    <w:basedOn w:val="Noklusjumarindkopasfonts"/>
    <w:link w:val="apakvsirsraksts2"/>
    <w:rsid w:val="009C2945"/>
    <w:rPr>
      <w:b/>
      <w:u w:val="single"/>
    </w:rPr>
  </w:style>
  <w:style w:type="paragraph" w:styleId="Sarakstarindkopa">
    <w:name w:val="List Paragraph"/>
    <w:basedOn w:val="Parasts"/>
    <w:uiPriority w:val="34"/>
    <w:qFormat/>
    <w:rsid w:val="009C2945"/>
    <w:pPr>
      <w:ind w:left="720"/>
      <w:contextualSpacing/>
    </w:pPr>
  </w:style>
  <w:style w:type="table" w:styleId="Reatabula">
    <w:name w:val="Table Grid"/>
    <w:basedOn w:val="Parastatabula"/>
    <w:uiPriority w:val="59"/>
    <w:rsid w:val="003F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E354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E3541"/>
  </w:style>
  <w:style w:type="paragraph" w:styleId="Kjene">
    <w:name w:val="footer"/>
    <w:basedOn w:val="Parasts"/>
    <w:link w:val="KjeneRakstz"/>
    <w:uiPriority w:val="99"/>
    <w:unhideWhenUsed/>
    <w:rsid w:val="00AE354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E3541"/>
  </w:style>
  <w:style w:type="character" w:styleId="Izteiksmgs">
    <w:name w:val="Strong"/>
    <w:basedOn w:val="Noklusjumarindkopasfonts"/>
    <w:uiPriority w:val="22"/>
    <w:qFormat/>
    <w:rsid w:val="00CE611F"/>
    <w:rPr>
      <w:b/>
      <w:bCs/>
    </w:rPr>
  </w:style>
  <w:style w:type="character" w:styleId="Izclums">
    <w:name w:val="Emphasis"/>
    <w:basedOn w:val="Noklusjumarindkopasfonts"/>
    <w:uiPriority w:val="20"/>
    <w:qFormat/>
    <w:rsid w:val="00CE611F"/>
    <w:rPr>
      <w:i/>
      <w:iCs/>
    </w:rPr>
  </w:style>
  <w:style w:type="character" w:styleId="Hipersaite">
    <w:name w:val="Hyperlink"/>
    <w:basedOn w:val="Noklusjumarindkopasfonts"/>
    <w:uiPriority w:val="99"/>
    <w:semiHidden/>
    <w:unhideWhenUsed/>
    <w:rsid w:val="0034762E"/>
    <w:rPr>
      <w:color w:val="0563C1"/>
      <w:u w:val="single"/>
    </w:rPr>
  </w:style>
  <w:style w:type="paragraph" w:customStyle="1" w:styleId="xmsonormal">
    <w:name w:val="x_msonormal"/>
    <w:basedOn w:val="Parasts"/>
    <w:rsid w:val="0034762E"/>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9315">
      <w:bodyDiv w:val="1"/>
      <w:marLeft w:val="0"/>
      <w:marRight w:val="0"/>
      <w:marTop w:val="0"/>
      <w:marBottom w:val="0"/>
      <w:divBdr>
        <w:top w:val="none" w:sz="0" w:space="0" w:color="auto"/>
        <w:left w:val="none" w:sz="0" w:space="0" w:color="auto"/>
        <w:bottom w:val="none" w:sz="0" w:space="0" w:color="auto"/>
        <w:right w:val="none" w:sz="0" w:space="0" w:color="auto"/>
      </w:divBdr>
    </w:div>
    <w:div w:id="735664571">
      <w:bodyDiv w:val="1"/>
      <w:marLeft w:val="0"/>
      <w:marRight w:val="0"/>
      <w:marTop w:val="0"/>
      <w:marBottom w:val="0"/>
      <w:divBdr>
        <w:top w:val="none" w:sz="0" w:space="0" w:color="auto"/>
        <w:left w:val="none" w:sz="0" w:space="0" w:color="auto"/>
        <w:bottom w:val="none" w:sz="0" w:space="0" w:color="auto"/>
        <w:right w:val="none" w:sz="0" w:space="0" w:color="auto"/>
      </w:divBdr>
    </w:div>
    <w:div w:id="1537500391">
      <w:bodyDiv w:val="1"/>
      <w:marLeft w:val="0"/>
      <w:marRight w:val="0"/>
      <w:marTop w:val="0"/>
      <w:marBottom w:val="0"/>
      <w:divBdr>
        <w:top w:val="none" w:sz="0" w:space="0" w:color="auto"/>
        <w:left w:val="none" w:sz="0" w:space="0" w:color="auto"/>
        <w:bottom w:val="none" w:sz="0" w:space="0" w:color="auto"/>
        <w:right w:val="none" w:sz="0" w:space="0" w:color="auto"/>
      </w:divBdr>
    </w:div>
    <w:div w:id="18935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me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70CFA-5BA3-4CBF-98D4-2DC3570A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17322</Words>
  <Characters>9874</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Liesma Jankovska</dc:creator>
  <cp:keywords/>
  <dc:description/>
  <cp:lastModifiedBy>Liesma Jankovska</cp:lastModifiedBy>
  <cp:revision>179</cp:revision>
  <dcterms:created xsi:type="dcterms:W3CDTF">2022-07-25T11:15:00Z</dcterms:created>
  <dcterms:modified xsi:type="dcterms:W3CDTF">2022-07-26T10:56:00Z</dcterms:modified>
</cp:coreProperties>
</file>