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58759A98" w:rsidR="008D79D0" w:rsidRPr="003D07A2" w:rsidRDefault="008D79D0" w:rsidP="00C06C05">
      <w:pPr>
        <w:spacing w:after="0"/>
        <w:ind w:left="284"/>
        <w:jc w:val="center"/>
        <w:rPr>
          <w:rFonts w:cstheme="minorHAnsi"/>
        </w:rPr>
      </w:pPr>
      <w:r w:rsidRPr="00211643">
        <w:rPr>
          <w:rFonts w:cstheme="minorHAnsi"/>
          <w:b/>
          <w:bCs/>
          <w:sz w:val="24"/>
          <w:szCs w:val="24"/>
        </w:rPr>
        <w:t>VSIA “Slimnīca “Ģintermuiža””</w:t>
      </w:r>
    </w:p>
    <w:p w14:paraId="6CD208D5" w14:textId="619DDA64" w:rsidR="008D79D0" w:rsidRPr="003D07A2" w:rsidRDefault="008D79D0" w:rsidP="008D79D0">
      <w:pPr>
        <w:spacing w:after="0"/>
        <w:jc w:val="center"/>
        <w:rPr>
          <w:rFonts w:cstheme="minorHAnsi"/>
          <w:b/>
          <w:bCs/>
        </w:rPr>
      </w:pPr>
    </w:p>
    <w:p w14:paraId="1640C813" w14:textId="77777777" w:rsidR="00C44B0E" w:rsidRDefault="00C44B0E" w:rsidP="008D79D0">
      <w:pPr>
        <w:spacing w:after="0"/>
        <w:jc w:val="center"/>
        <w:rPr>
          <w:rFonts w:cstheme="minorHAnsi"/>
          <w:b/>
          <w:bCs/>
        </w:rPr>
      </w:pPr>
    </w:p>
    <w:p w14:paraId="50A9D647" w14:textId="328E41F7"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158A7A16" w:rsidR="0018783C" w:rsidRDefault="008D79D0" w:rsidP="008D79D0">
      <w:pPr>
        <w:spacing w:after="0"/>
        <w:jc w:val="center"/>
        <w:rPr>
          <w:rFonts w:cstheme="minorHAnsi"/>
        </w:rPr>
      </w:pPr>
      <w:r w:rsidRPr="003D07A2">
        <w:rPr>
          <w:rFonts w:cstheme="minorHAnsi"/>
        </w:rPr>
        <w:t>par 202</w:t>
      </w:r>
      <w:r w:rsidR="00C54E21">
        <w:rPr>
          <w:rFonts w:cstheme="minorHAnsi"/>
        </w:rPr>
        <w:t>3</w:t>
      </w:r>
      <w:r w:rsidRPr="003D07A2">
        <w:rPr>
          <w:rFonts w:cstheme="minorHAnsi"/>
        </w:rPr>
        <w:t xml:space="preserve">. </w:t>
      </w:r>
      <w:r w:rsidR="0073779C" w:rsidRPr="003D07A2">
        <w:rPr>
          <w:rFonts w:cstheme="minorHAnsi"/>
        </w:rPr>
        <w:t>gad</w:t>
      </w:r>
      <w:r w:rsidR="00B10F7D">
        <w:rPr>
          <w:rFonts w:cstheme="minorHAnsi"/>
        </w:rPr>
        <w:t>a 3 mēnešiem (01.01.-31.03.)</w:t>
      </w:r>
    </w:p>
    <w:p w14:paraId="3CCB921D" w14:textId="77777777" w:rsidR="00521F16" w:rsidRDefault="00521F16" w:rsidP="00C06C05">
      <w:pPr>
        <w:spacing w:before="100" w:beforeAutospacing="1" w:after="100" w:afterAutospacing="1"/>
        <w:jc w:val="both"/>
        <w:rPr>
          <w:rFonts w:cstheme="minorHAnsi"/>
        </w:rPr>
      </w:pPr>
    </w:p>
    <w:p w14:paraId="5B9B76B3" w14:textId="5CD39A19"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65D212AE"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w:t>
      </w:r>
      <w:r w:rsidR="002C25FC">
        <w:rPr>
          <w:rFonts w:cstheme="minorHAnsi"/>
        </w:rPr>
        <w:t>sekretārs</w:t>
      </w:r>
      <w:r w:rsidR="003F5E80">
        <w:rPr>
          <w:rFonts w:cstheme="minorHAnsi"/>
        </w:rPr>
        <w:t>.</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0F8466EE" w:rsidR="00E42217"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793BF49A" w14:textId="77777777" w:rsidR="009676D4" w:rsidRDefault="00A1557D" w:rsidP="00A1557D">
      <w:pPr>
        <w:spacing w:before="100" w:beforeAutospacing="1" w:after="100" w:afterAutospacing="1"/>
        <w:jc w:val="both"/>
        <w:rPr>
          <w:rFonts w:cstheme="minorHAnsi"/>
        </w:rPr>
      </w:pPr>
      <w:r>
        <w:rPr>
          <w:rFonts w:cstheme="minorHAnsi"/>
        </w:rPr>
        <w:t>202</w:t>
      </w:r>
      <w:r w:rsidR="00AE1D30">
        <w:rPr>
          <w:rFonts w:cstheme="minorHAnsi"/>
        </w:rPr>
        <w:t>3</w:t>
      </w:r>
      <w:r>
        <w:rPr>
          <w:rFonts w:cstheme="minorHAnsi"/>
        </w:rPr>
        <w:t xml:space="preserve">.gadam ir izvirzīts mērķis </w:t>
      </w:r>
      <w:r w:rsidR="00934102">
        <w:rPr>
          <w:rFonts w:cstheme="minorHAnsi"/>
        </w:rPr>
        <w:t xml:space="preserve">turpināt attīstīt </w:t>
      </w:r>
      <w:r>
        <w:rPr>
          <w:rFonts w:cstheme="minorHAnsi"/>
        </w:rPr>
        <w:t>diennakts stacionārās veselības aprūpes pakalpojum</w:t>
      </w:r>
      <w:r w:rsidR="00934102">
        <w:rPr>
          <w:rFonts w:cstheme="minorHAnsi"/>
        </w:rPr>
        <w:t>us</w:t>
      </w:r>
      <w:r>
        <w:rPr>
          <w:rFonts w:cstheme="minorHAnsi"/>
        </w:rPr>
        <w:t xml:space="preserve"> psihiatrijā </w:t>
      </w:r>
      <w:r w:rsidR="00934102">
        <w:rPr>
          <w:rFonts w:cstheme="minorHAnsi"/>
        </w:rPr>
        <w:t>un narkoloģijā</w:t>
      </w:r>
      <w:r>
        <w:rPr>
          <w:rFonts w:cstheme="minorHAnsi"/>
        </w:rPr>
        <w:t xml:space="preserve">,  piedāvājot pacientam </w:t>
      </w:r>
      <w:r w:rsidR="00934102">
        <w:rPr>
          <w:rFonts w:cstheme="minorHAnsi"/>
        </w:rPr>
        <w:t xml:space="preserve">individualizētu, </w:t>
      </w:r>
      <w:r>
        <w:rPr>
          <w:rFonts w:cstheme="minorHAnsi"/>
        </w:rPr>
        <w:t>mūsdienīgu, efektīvu un dzīves kvalitātes uzlabojošu kompleksu ārstniecības procesu.</w:t>
      </w:r>
      <w:r w:rsidR="00A25FCF">
        <w:rPr>
          <w:rFonts w:cstheme="minorHAnsi"/>
        </w:rPr>
        <w:t xml:space="preserve"> </w:t>
      </w:r>
    </w:p>
    <w:p w14:paraId="358FDCCB" w14:textId="7EB50273" w:rsidR="00A1557D" w:rsidRDefault="00D467CB" w:rsidP="00A1557D">
      <w:pPr>
        <w:spacing w:before="100" w:beforeAutospacing="1" w:after="100" w:afterAutospacing="1"/>
        <w:jc w:val="both"/>
        <w:rPr>
          <w:rFonts w:cstheme="minorHAnsi"/>
        </w:rPr>
      </w:pPr>
      <w:r>
        <w:rPr>
          <w:rFonts w:cstheme="minorHAnsi"/>
        </w:rPr>
        <w:t xml:space="preserve">Rīcības virzieni </w:t>
      </w:r>
      <w:r w:rsidR="004C4B3E">
        <w:rPr>
          <w:rFonts w:cstheme="minorHAnsi"/>
        </w:rPr>
        <w:t>–</w:t>
      </w:r>
      <w:r>
        <w:rPr>
          <w:rFonts w:cstheme="minorHAnsi"/>
        </w:rPr>
        <w:t xml:space="preserve"> </w:t>
      </w:r>
      <w:r w:rsidR="004C4B3E">
        <w:rPr>
          <w:rFonts w:cstheme="minorHAnsi"/>
        </w:rPr>
        <w:t>uzsākt izstrādāt rehabilitācijas</w:t>
      </w:r>
      <w:r w:rsidR="00DB35D6">
        <w:rPr>
          <w:rFonts w:cstheme="minorHAnsi"/>
        </w:rPr>
        <w:t xml:space="preserve"> pakalpojumu programmu pacientiem</w:t>
      </w:r>
      <w:r w:rsidR="001D396D">
        <w:rPr>
          <w:rFonts w:cstheme="minorHAnsi"/>
        </w:rPr>
        <w:t xml:space="preserve"> (bērniem un pusaudžiem)</w:t>
      </w:r>
      <w:r w:rsidR="00DB35D6">
        <w:rPr>
          <w:rFonts w:cstheme="minorHAnsi"/>
        </w:rPr>
        <w:t xml:space="preserve"> ar d</w:t>
      </w:r>
      <w:r w:rsidR="001D396D">
        <w:rPr>
          <w:rFonts w:cstheme="minorHAnsi"/>
        </w:rPr>
        <w:t>u</w:t>
      </w:r>
      <w:r w:rsidR="00DB35D6">
        <w:rPr>
          <w:rFonts w:cstheme="minorHAnsi"/>
        </w:rPr>
        <w:t>bultdiagnozēm</w:t>
      </w:r>
      <w:r w:rsidR="001D396D">
        <w:rPr>
          <w:rFonts w:cstheme="minorHAnsi"/>
        </w:rPr>
        <w:t>, kuras var izraisīt uzvedības un psihiskās veselības traucējumus;</w:t>
      </w:r>
      <w:r w:rsidR="002A261E">
        <w:rPr>
          <w:rFonts w:cstheme="minorHAnsi"/>
        </w:rPr>
        <w:t xml:space="preserve"> </w:t>
      </w:r>
      <w:r w:rsidR="00BD0F2F">
        <w:rPr>
          <w:rFonts w:cstheme="minorHAnsi"/>
        </w:rPr>
        <w:t xml:space="preserve">ieviest </w:t>
      </w:r>
      <w:r w:rsidR="004C6BB2">
        <w:rPr>
          <w:rFonts w:cstheme="minorHAnsi"/>
        </w:rPr>
        <w:t xml:space="preserve">pacientu aptauju - </w:t>
      </w:r>
      <w:r w:rsidR="00A94F6B">
        <w:rPr>
          <w:rFonts w:cstheme="minorHAnsi"/>
        </w:rPr>
        <w:t xml:space="preserve">pacientu </w:t>
      </w:r>
      <w:r w:rsidR="00D72D97">
        <w:rPr>
          <w:rFonts w:cstheme="minorHAnsi"/>
        </w:rPr>
        <w:t xml:space="preserve">pieredzes </w:t>
      </w:r>
      <w:r w:rsidR="00A94F6B">
        <w:rPr>
          <w:rFonts w:cstheme="minorHAnsi"/>
        </w:rPr>
        <w:t>ziņojumi par apmierinātību par saņemto ār</w:t>
      </w:r>
      <w:r w:rsidR="000A28B8">
        <w:rPr>
          <w:rFonts w:cstheme="minorHAnsi"/>
        </w:rPr>
        <w:t>s</w:t>
      </w:r>
      <w:r w:rsidR="00A94F6B">
        <w:rPr>
          <w:rFonts w:cstheme="minorHAnsi"/>
        </w:rPr>
        <w:t xml:space="preserve">tēšanu veselības aprūpe pakalpojumu kvalitātes izvērtēšanā un uzlabošanā; </w:t>
      </w:r>
      <w:r w:rsidR="00111AFB">
        <w:rPr>
          <w:rFonts w:cstheme="minorHAnsi"/>
        </w:rPr>
        <w:t xml:space="preserve">medicīniskās rehabilitācijas pakalpojuma psihiatrijā izveide un aprobācija </w:t>
      </w:r>
      <w:r w:rsidR="006C4476">
        <w:rPr>
          <w:rFonts w:cstheme="minorHAnsi"/>
        </w:rPr>
        <w:t>ge</w:t>
      </w:r>
      <w:r w:rsidR="009E7640">
        <w:rPr>
          <w:rFonts w:cstheme="minorHAnsi"/>
        </w:rPr>
        <w:t>r</w:t>
      </w:r>
      <w:r w:rsidR="00CD3157">
        <w:rPr>
          <w:rFonts w:cstheme="minorHAnsi"/>
        </w:rPr>
        <w:t>o</w:t>
      </w:r>
      <w:r w:rsidR="009E7640">
        <w:rPr>
          <w:rFonts w:cstheme="minorHAnsi"/>
        </w:rPr>
        <w:t>ntopsihiatrijas pacientiem un pacientiem, kuri ievietoti ar tiesas lēmumu.</w:t>
      </w:r>
      <w:r w:rsidR="006C4476">
        <w:rPr>
          <w:rFonts w:cstheme="minorHAnsi"/>
        </w:rPr>
        <w:t xml:space="preserve"> </w:t>
      </w:r>
    </w:p>
    <w:p w14:paraId="7C71D198" w14:textId="76236981" w:rsidR="00A44170" w:rsidRPr="003D07A2" w:rsidRDefault="0049422B" w:rsidP="00A1557D">
      <w:pPr>
        <w:spacing w:before="100" w:beforeAutospacing="1" w:after="100" w:afterAutospacing="1"/>
        <w:jc w:val="both"/>
        <w:rPr>
          <w:rFonts w:cstheme="minorHAnsi"/>
        </w:rPr>
      </w:pPr>
      <w:r>
        <w:rPr>
          <w:rFonts w:cstheme="minorHAnsi"/>
        </w:rPr>
        <w:t>Papildus ārstniecības procesa pilnveidošanas aktivitātēm budžets paredz “zaļā kursa “aktivitātes – saules paneļu elektrostacijas un pieguļošās teritorijas labiekārtošanas izbūvi un v</w:t>
      </w:r>
      <w:r w:rsidRPr="005A3A84">
        <w:rPr>
          <w:rFonts w:cstheme="minorHAnsi"/>
        </w:rPr>
        <w:t>idei draudzīgu automašīnu iegāde pacientu/klientu pārvadāšanai</w:t>
      </w:r>
      <w:r>
        <w:rPr>
          <w:rFonts w:cstheme="minorHAnsi"/>
        </w:rPr>
        <w:t xml:space="preserve"> - n</w:t>
      </w:r>
      <w:r w:rsidRPr="00E304BA">
        <w:rPr>
          <w:rFonts w:cstheme="minorHAnsi"/>
        </w:rPr>
        <w:t>ulles izmešu automašīnas iegāde pacientu/klientu ( 8+1) vietas) pārvadāšanai</w:t>
      </w:r>
      <w:r>
        <w:rPr>
          <w:rFonts w:cstheme="minorHAnsi"/>
        </w:rPr>
        <w:t>.</w:t>
      </w:r>
    </w:p>
    <w:p w14:paraId="656D84E3" w14:textId="77777777" w:rsidR="00A1557D" w:rsidRPr="003D07A2" w:rsidRDefault="00A1557D" w:rsidP="00C06C05">
      <w:pPr>
        <w:spacing w:before="100" w:beforeAutospacing="1" w:after="100" w:afterAutospacing="1"/>
        <w:jc w:val="both"/>
        <w:rPr>
          <w:rFonts w:cstheme="minorHAnsi"/>
        </w:rPr>
      </w:pPr>
    </w:p>
    <w:p w14:paraId="73B091AC" w14:textId="77777777" w:rsidR="00521F16" w:rsidRDefault="00521F16">
      <w:pPr>
        <w:rPr>
          <w:rFonts w:cstheme="minorHAnsi"/>
          <w:b/>
          <w:bCs/>
        </w:rPr>
      </w:pPr>
      <w:r>
        <w:rPr>
          <w:rFonts w:cstheme="minorHAnsi"/>
          <w:b/>
          <w:bCs/>
        </w:rPr>
        <w:br w:type="page"/>
      </w:r>
    </w:p>
    <w:p w14:paraId="3391F4AB" w14:textId="68B144FD" w:rsidR="008D79D0" w:rsidRPr="003D07A2" w:rsidRDefault="008D79D0" w:rsidP="008D79D0">
      <w:pPr>
        <w:spacing w:after="0"/>
        <w:rPr>
          <w:rFonts w:cstheme="minorHAnsi"/>
          <w:b/>
          <w:bCs/>
        </w:rPr>
      </w:pPr>
      <w:r w:rsidRPr="003D07A2">
        <w:rPr>
          <w:rFonts w:cstheme="minorHAnsi"/>
          <w:b/>
          <w:bCs/>
        </w:rPr>
        <w:lastRenderedPageBreak/>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Neiroelektrofizioloģiskie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Metadona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(Metadona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073EAB11" w14:textId="47FBBB60" w:rsidR="00E00B23" w:rsidRPr="00072B5D" w:rsidRDefault="00072B5D" w:rsidP="00B607CC">
      <w:pPr>
        <w:pStyle w:val="apakvsirsraksts2"/>
        <w:keepLines/>
        <w:numPr>
          <w:ilvl w:val="1"/>
          <w:numId w:val="1"/>
        </w:numPr>
        <w:spacing w:after="0"/>
        <w:jc w:val="both"/>
        <w:rPr>
          <w:rFonts w:cstheme="minorHAnsi"/>
          <w:b w:val="0"/>
          <w:bCs/>
          <w:u w:val="none"/>
        </w:rPr>
      </w:pPr>
      <w:r>
        <w:rPr>
          <w:rFonts w:eastAsia="Calibri" w:cstheme="minorHAnsi"/>
          <w:b w:val="0"/>
          <w:bCs/>
          <w:u w:val="none"/>
        </w:rPr>
        <w:t>A</w:t>
      </w:r>
      <w:r w:rsidRPr="00072B5D">
        <w:rPr>
          <w:rFonts w:eastAsia="Calibri" w:cstheme="minorHAnsi"/>
          <w:b w:val="0"/>
          <w:bCs/>
          <w:u w:val="none"/>
        </w:rPr>
        <w:t>utiska spektra traucējumu psiholoģiskās diagnostikas pakalpojums (ADOS tests) bērniem līdz 18 gadu vecumam</w:t>
      </w:r>
      <w:r w:rsidR="00E00B23" w:rsidRPr="00072B5D">
        <w:rPr>
          <w:rFonts w:cstheme="minorHAnsi"/>
          <w:b w:val="0"/>
          <w:bCs/>
          <w:u w:val="none"/>
        </w:rPr>
        <w:t xml:space="preserve"> </w:t>
      </w:r>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333E951D"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Sociālās rehabilitācijas pakalpojumi no psihoaktīvām vielām atkarīgiem pieaugušām personām</w:t>
      </w:r>
    </w:p>
    <w:p w14:paraId="23E51DCC" w14:textId="51A5CF43" w:rsidR="009C2945" w:rsidRPr="003D07A2" w:rsidRDefault="00091868" w:rsidP="00C06C05">
      <w:pPr>
        <w:spacing w:before="100" w:beforeAutospacing="1" w:after="100" w:afterAutospacing="1"/>
        <w:jc w:val="both"/>
        <w:rPr>
          <w:rFonts w:cstheme="minorHAnsi"/>
        </w:rPr>
      </w:pPr>
      <w:r>
        <w:rPr>
          <w:rFonts w:cstheme="minorHAnsi"/>
        </w:rPr>
        <w:t>N</w:t>
      </w:r>
      <w:r w:rsidR="009C2945" w:rsidRPr="003D07A2">
        <w:rPr>
          <w:rFonts w:cstheme="minorHAnsi"/>
        </w:rPr>
        <w:t>o 202</w:t>
      </w:r>
      <w:r w:rsidR="00B6487D">
        <w:rPr>
          <w:rFonts w:cstheme="minorHAnsi"/>
        </w:rPr>
        <w:t>3</w:t>
      </w:r>
      <w:r w:rsidR="009C2945" w:rsidRPr="003D07A2">
        <w:rPr>
          <w:rFonts w:cstheme="minorHAnsi"/>
        </w:rPr>
        <w:t>. gada 1.janvāra</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r w:rsidR="000C0B25">
        <w:rPr>
          <w:rFonts w:cstheme="minorHAnsi"/>
        </w:rPr>
        <w:t xml:space="preserve"> (kopā 269 gultu vietas)</w:t>
      </w:r>
      <w:r w:rsidR="009C2945" w:rsidRPr="003D07A2">
        <w:rPr>
          <w:rFonts w:cstheme="minorHAnsi"/>
        </w:rPr>
        <w:t>:</w:t>
      </w:r>
    </w:p>
    <w:p w14:paraId="27B4F3D4" w14:textId="77C6E1D8"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1.akūtā psihiatrijas nodaļā – </w:t>
      </w:r>
      <w:r w:rsidR="006A58C0">
        <w:rPr>
          <w:rFonts w:cstheme="minorHAnsi"/>
        </w:rPr>
        <w:t>6</w:t>
      </w:r>
      <w:r w:rsidRPr="003D07A2">
        <w:rPr>
          <w:rFonts w:cstheme="minorHAnsi"/>
        </w:rPr>
        <w:t>0 vietas</w:t>
      </w:r>
    </w:p>
    <w:p w14:paraId="63FAC1E3" w14:textId="46E5E509" w:rsidR="009C2945" w:rsidRDefault="009C2945" w:rsidP="009C2945">
      <w:pPr>
        <w:pStyle w:val="Sarakstarindkopa"/>
        <w:numPr>
          <w:ilvl w:val="0"/>
          <w:numId w:val="2"/>
        </w:numPr>
        <w:spacing w:after="0"/>
        <w:jc w:val="both"/>
        <w:rPr>
          <w:rFonts w:cstheme="minorHAnsi"/>
        </w:rPr>
      </w:pPr>
      <w:r w:rsidRPr="003D07A2">
        <w:rPr>
          <w:rFonts w:cstheme="minorHAnsi"/>
        </w:rPr>
        <w:t xml:space="preserve">2.akūtās psihiatrijas nodaļā – </w:t>
      </w:r>
      <w:r w:rsidR="00DB06E8">
        <w:rPr>
          <w:rFonts w:cstheme="minorHAnsi"/>
        </w:rPr>
        <w:t>3</w:t>
      </w:r>
      <w:r w:rsidRPr="003D07A2">
        <w:rPr>
          <w:rFonts w:cstheme="minorHAnsi"/>
        </w:rPr>
        <w:t>0 vietas</w:t>
      </w:r>
    </w:p>
    <w:p w14:paraId="4BC7878C" w14:textId="036ED47E" w:rsidR="00DB06E8" w:rsidRPr="003D07A2" w:rsidRDefault="00DB06E8" w:rsidP="009C2945">
      <w:pPr>
        <w:pStyle w:val="Sarakstarindkopa"/>
        <w:numPr>
          <w:ilvl w:val="0"/>
          <w:numId w:val="2"/>
        </w:numPr>
        <w:spacing w:after="0"/>
        <w:jc w:val="both"/>
        <w:rPr>
          <w:rFonts w:cstheme="minorHAnsi"/>
        </w:rPr>
      </w:pPr>
      <w:r>
        <w:rPr>
          <w:rFonts w:cstheme="minorHAnsi"/>
        </w:rPr>
        <w:t>3.akūtā psihiatrijas nodaļa – 30 veitas</w:t>
      </w:r>
    </w:p>
    <w:p w14:paraId="25ED124F" w14:textId="25833EB5"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Neirožu nodaļa – </w:t>
      </w:r>
      <w:r w:rsidR="000C0B25">
        <w:rPr>
          <w:rFonts w:cstheme="minorHAnsi"/>
        </w:rPr>
        <w:t>24</w:t>
      </w:r>
      <w:r w:rsidRPr="003D07A2">
        <w:rPr>
          <w:rFonts w:cstheme="minorHAnsi"/>
        </w:rPr>
        <w:t xml:space="preserve"> vietas</w:t>
      </w:r>
    </w:p>
    <w:p w14:paraId="12E4294F" w14:textId="487E1D38" w:rsidR="009C2945" w:rsidRDefault="009C2945" w:rsidP="009C2945">
      <w:pPr>
        <w:pStyle w:val="Sarakstarindkopa"/>
        <w:numPr>
          <w:ilvl w:val="0"/>
          <w:numId w:val="2"/>
        </w:numPr>
        <w:spacing w:after="0"/>
        <w:jc w:val="both"/>
        <w:rPr>
          <w:rFonts w:cstheme="minorHAnsi"/>
        </w:rPr>
      </w:pPr>
      <w:r w:rsidRPr="003D07A2">
        <w:rPr>
          <w:rFonts w:cstheme="minorHAnsi"/>
        </w:rPr>
        <w:t xml:space="preserve">Hroniskās psihiatrijas nodaļā – </w:t>
      </w:r>
      <w:r w:rsidR="000C0B25">
        <w:rPr>
          <w:rFonts w:cstheme="minorHAnsi"/>
        </w:rPr>
        <w:t>36</w:t>
      </w:r>
      <w:r w:rsidRPr="003D07A2">
        <w:rPr>
          <w:rFonts w:cstheme="minorHAnsi"/>
        </w:rPr>
        <w:t xml:space="preserve">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2FC6287D"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Gerontopsihiatrijas nodaļā – </w:t>
      </w:r>
      <w:r w:rsidR="00AE596D">
        <w:rPr>
          <w:rFonts w:cstheme="minorHAnsi"/>
        </w:rPr>
        <w:t>24</w:t>
      </w:r>
      <w:r w:rsidRPr="003D07A2">
        <w:rPr>
          <w:rFonts w:cstheme="minorHAnsi"/>
        </w:rPr>
        <w:t xml:space="preserve"> vietas;</w:t>
      </w:r>
    </w:p>
    <w:p w14:paraId="75F1425F" w14:textId="337A06BE"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Bērnu psihiatrijas nodaļā – </w:t>
      </w:r>
      <w:r w:rsidR="009536E1">
        <w:rPr>
          <w:rFonts w:cstheme="minorHAnsi"/>
        </w:rPr>
        <w:t xml:space="preserve">20 </w:t>
      </w:r>
      <w:r w:rsidRPr="003D07A2">
        <w:rPr>
          <w:rFonts w:cstheme="minorHAnsi"/>
        </w:rPr>
        <w:t>vietas</w:t>
      </w:r>
    </w:p>
    <w:p w14:paraId="438C21A9"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nodaļā ar 5 observācijas gultas vietām.</w:t>
      </w:r>
    </w:p>
    <w:p w14:paraId="10222142" w14:textId="77777777" w:rsidR="00BF773F" w:rsidRDefault="00BF773F" w:rsidP="00BF773F">
      <w:pPr>
        <w:spacing w:after="0"/>
        <w:jc w:val="both"/>
        <w:rPr>
          <w:rStyle w:val="Izteiksmgs"/>
          <w:b w:val="0"/>
          <w:bCs w:val="0"/>
        </w:rPr>
      </w:pPr>
    </w:p>
    <w:p w14:paraId="0B7B0DCA" w14:textId="3B018909" w:rsidR="008328C0" w:rsidRDefault="00A53E6E" w:rsidP="00BF773F">
      <w:pPr>
        <w:spacing w:after="0"/>
        <w:jc w:val="both"/>
        <w:rPr>
          <w:b/>
          <w:bCs/>
        </w:rPr>
      </w:pPr>
      <w:r>
        <w:rPr>
          <w:rStyle w:val="Izteiksmgs"/>
          <w:b w:val="0"/>
          <w:bCs w:val="0"/>
        </w:rPr>
        <w:t xml:space="preserve">Dienas stacionārs </w:t>
      </w:r>
      <w:r w:rsidR="003E5FE6">
        <w:rPr>
          <w:rStyle w:val="Izteiksmgs"/>
          <w:b w:val="0"/>
          <w:bCs w:val="0"/>
        </w:rPr>
        <w:t>nodrošina</w:t>
      </w:r>
      <w:r>
        <w:rPr>
          <w:rStyle w:val="Izteiksmgs"/>
          <w:b w:val="0"/>
          <w:bCs w:val="0"/>
        </w:rPr>
        <w:t xml:space="preserve"> 1</w:t>
      </w:r>
      <w:r w:rsidR="003E5FE6">
        <w:rPr>
          <w:rStyle w:val="Izteiksmgs"/>
          <w:b w:val="0"/>
          <w:bCs w:val="0"/>
        </w:rPr>
        <w:t>1</w:t>
      </w:r>
      <w:r>
        <w:rPr>
          <w:rStyle w:val="Izteiksmgs"/>
          <w:b w:val="0"/>
          <w:bCs w:val="0"/>
        </w:rPr>
        <w:t xml:space="preserve"> vietas </w:t>
      </w:r>
      <w:r w:rsidR="003E5FE6">
        <w:rPr>
          <w:rStyle w:val="Izteiksmgs"/>
          <w:b w:val="0"/>
          <w:bCs w:val="0"/>
        </w:rPr>
        <w:t xml:space="preserve">pieaugušajiem un </w:t>
      </w:r>
      <w:r w:rsidR="001954DC">
        <w:rPr>
          <w:rStyle w:val="Izteiksmgs"/>
          <w:b w:val="0"/>
          <w:bCs w:val="0"/>
        </w:rPr>
        <w:t>6 vietas bērniem psihiatrijā.</w:t>
      </w:r>
    </w:p>
    <w:p w14:paraId="7B885031" w14:textId="08038E69" w:rsidR="008D79D0" w:rsidRPr="003D07A2" w:rsidRDefault="008D79D0" w:rsidP="008D79D0">
      <w:pPr>
        <w:spacing w:after="0"/>
        <w:rPr>
          <w:rFonts w:cstheme="minorHAnsi"/>
          <w:b/>
          <w:bCs/>
        </w:rPr>
      </w:pPr>
      <w:r w:rsidRPr="003D07A2">
        <w:rPr>
          <w:rFonts w:cstheme="minorHAnsi"/>
          <w:b/>
          <w:bCs/>
        </w:rPr>
        <w:lastRenderedPageBreak/>
        <w:t>Sabiedrības finanšu darbības rezultāti</w:t>
      </w:r>
    </w:p>
    <w:p w14:paraId="44BAC103" w14:textId="010C2DB2"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8328C0">
        <w:rPr>
          <w:rFonts w:cstheme="minorHAnsi"/>
        </w:rPr>
        <w:t>2</w:t>
      </w:r>
      <w:r w:rsidR="004C5AC1" w:rsidRPr="003D07A2">
        <w:rPr>
          <w:rFonts w:cstheme="minorHAnsi"/>
        </w:rPr>
        <w:t>.</w:t>
      </w:r>
      <w:r w:rsidR="003272B3">
        <w:rPr>
          <w:rFonts w:cstheme="minorHAnsi"/>
        </w:rPr>
        <w:t>7</w:t>
      </w:r>
      <w:r w:rsidRPr="003D07A2">
        <w:rPr>
          <w:rFonts w:cstheme="minorHAnsi"/>
        </w:rPr>
        <w:t xml:space="preserve"> miljoni euro, kas, salīdzinot ar 20</w:t>
      </w:r>
      <w:r w:rsidR="008328C0">
        <w:rPr>
          <w:rFonts w:cstheme="minorHAnsi"/>
        </w:rPr>
        <w:t>2</w:t>
      </w:r>
      <w:r w:rsidR="005B595A">
        <w:rPr>
          <w:rFonts w:cstheme="minorHAnsi"/>
        </w:rPr>
        <w:t>2</w:t>
      </w:r>
      <w:r w:rsidRPr="003D07A2">
        <w:rPr>
          <w:rFonts w:cstheme="minorHAnsi"/>
        </w:rPr>
        <w:t>.gad</w:t>
      </w:r>
      <w:r w:rsidR="005B595A">
        <w:rPr>
          <w:rFonts w:cstheme="minorHAnsi"/>
        </w:rPr>
        <w:t>a pārskata p</w:t>
      </w:r>
      <w:r w:rsidR="00A822D5">
        <w:rPr>
          <w:rFonts w:cstheme="minorHAnsi"/>
        </w:rPr>
        <w:t>e</w:t>
      </w:r>
      <w:r w:rsidR="005B595A">
        <w:rPr>
          <w:rFonts w:cstheme="minorHAnsi"/>
        </w:rPr>
        <w:t>riodu</w:t>
      </w:r>
      <w:r w:rsidRPr="003D07A2">
        <w:rPr>
          <w:rFonts w:cstheme="minorHAnsi"/>
        </w:rPr>
        <w:t xml:space="preserve">, ir </w:t>
      </w:r>
      <w:r w:rsidR="005B595A">
        <w:rPr>
          <w:rFonts w:cstheme="minorHAnsi"/>
        </w:rPr>
        <w:t>samazinājies</w:t>
      </w:r>
      <w:r w:rsidRPr="003D07A2">
        <w:rPr>
          <w:rFonts w:cstheme="minorHAnsi"/>
        </w:rPr>
        <w:t xml:space="preserve"> par </w:t>
      </w:r>
      <w:r w:rsidR="008328C0">
        <w:rPr>
          <w:rFonts w:cstheme="minorHAnsi"/>
        </w:rPr>
        <w:t>0.</w:t>
      </w:r>
      <w:r w:rsidR="005B595A">
        <w:rPr>
          <w:rFonts w:cstheme="minorHAnsi"/>
        </w:rPr>
        <w:t>1</w:t>
      </w:r>
      <w:r w:rsidR="004C5AC1" w:rsidRPr="003D07A2">
        <w:rPr>
          <w:rFonts w:cstheme="minorHAnsi"/>
        </w:rPr>
        <w:t xml:space="preserve"> milj</w:t>
      </w:r>
      <w:r w:rsidRPr="003D07A2">
        <w:rPr>
          <w:rFonts w:cstheme="minorHAnsi"/>
        </w:rPr>
        <w:t xml:space="preserve"> euro, bet ir par </w:t>
      </w:r>
      <w:r w:rsidR="008328C0">
        <w:rPr>
          <w:rFonts w:cstheme="minorHAnsi"/>
        </w:rPr>
        <w:t>0.</w:t>
      </w:r>
      <w:r w:rsidR="00101769">
        <w:rPr>
          <w:rFonts w:cstheme="minorHAnsi"/>
        </w:rPr>
        <w:t>12</w:t>
      </w:r>
      <w:r w:rsidR="008328C0">
        <w:rPr>
          <w:rFonts w:cstheme="minorHAnsi"/>
        </w:rPr>
        <w:t>milj.</w:t>
      </w:r>
      <w:r w:rsidRPr="003D07A2">
        <w:rPr>
          <w:rFonts w:cstheme="minorHAnsi"/>
        </w:rPr>
        <w:t xml:space="preserve"> euro mazāk kā 202</w:t>
      </w:r>
      <w:r w:rsidR="00101769">
        <w:rPr>
          <w:rFonts w:cstheme="minorHAnsi"/>
        </w:rPr>
        <w:t>3</w:t>
      </w:r>
      <w:r w:rsidRPr="003D07A2">
        <w:rPr>
          <w:rFonts w:cstheme="minorHAnsi"/>
        </w:rPr>
        <w:t>.gadā</w:t>
      </w:r>
      <w:r w:rsidR="001248A7">
        <w:rPr>
          <w:rFonts w:cstheme="minorHAnsi"/>
        </w:rPr>
        <w:t xml:space="preserve"> plānots</w:t>
      </w:r>
      <w:r w:rsidRPr="003D07A2">
        <w:rPr>
          <w:rFonts w:cstheme="minorHAnsi"/>
        </w:rPr>
        <w:t>.</w:t>
      </w:r>
    </w:p>
    <w:p w14:paraId="409C27EA" w14:textId="1CF28866" w:rsidR="00AB329C" w:rsidRPr="003D07A2" w:rsidRDefault="00D44D91" w:rsidP="00C06C05">
      <w:pPr>
        <w:spacing w:before="100" w:beforeAutospacing="1" w:after="100" w:afterAutospacing="1"/>
        <w:jc w:val="both"/>
        <w:rPr>
          <w:rFonts w:cstheme="minorHAnsi"/>
        </w:rPr>
      </w:pPr>
      <w:r w:rsidRPr="003D07A2">
        <w:rPr>
          <w:rFonts w:cstheme="minorHAnsi"/>
        </w:rPr>
        <w:t xml:space="preserve">Veselības aprūpes pakalpojumu ieņēmumi </w:t>
      </w:r>
      <w:r w:rsidR="00027DF4" w:rsidRPr="003D07A2">
        <w:rPr>
          <w:rFonts w:cstheme="minorHAnsi"/>
        </w:rPr>
        <w:t xml:space="preserve">ir vairāk kā </w:t>
      </w:r>
      <w:r w:rsidR="00D60DED">
        <w:rPr>
          <w:rFonts w:cstheme="minorHAnsi"/>
        </w:rPr>
        <w:t>7</w:t>
      </w:r>
      <w:r w:rsidR="00CF7A9B">
        <w:rPr>
          <w:rFonts w:cstheme="minorHAnsi"/>
        </w:rPr>
        <w:t>9</w:t>
      </w:r>
      <w:r w:rsidR="00027DF4" w:rsidRPr="003D07A2">
        <w:rPr>
          <w:rFonts w:cstheme="minorHAnsi"/>
        </w:rPr>
        <w:t xml:space="preserve">% </w:t>
      </w:r>
      <w:r w:rsidRPr="003D07A2">
        <w:rPr>
          <w:rFonts w:cstheme="minorHAnsi"/>
        </w:rPr>
        <w:t>no kopējiem Sabiedrības ieņēmumiem</w:t>
      </w:r>
      <w:r w:rsidR="00CF7A9B">
        <w:rPr>
          <w:rFonts w:cstheme="minorHAnsi"/>
        </w:rPr>
        <w:t>.</w:t>
      </w:r>
      <w:r w:rsidR="00FC73ED">
        <w:rPr>
          <w:rFonts w:cstheme="minorHAnsi"/>
        </w:rPr>
        <w:t xml:space="preserve"> </w:t>
      </w:r>
    </w:p>
    <w:p w14:paraId="760898F4" w14:textId="0ACCC857" w:rsidR="007B12D7" w:rsidRPr="003D07A2" w:rsidRDefault="003F5B24" w:rsidP="00C06C05">
      <w:pPr>
        <w:spacing w:before="100" w:beforeAutospacing="1" w:after="100" w:afterAutospacing="1"/>
        <w:jc w:val="center"/>
        <w:rPr>
          <w:rFonts w:cstheme="minorHAnsi"/>
        </w:rPr>
      </w:pPr>
      <w:r w:rsidRPr="003D07A2">
        <w:rPr>
          <w:rFonts w:cstheme="minorHAnsi"/>
          <w:b/>
          <w:bCs/>
        </w:rPr>
        <w:t>Ieņēmumi</w:t>
      </w:r>
      <w:r w:rsidR="002A6BBB" w:rsidRPr="003D07A2">
        <w:rPr>
          <w:rFonts w:cstheme="minorHAnsi"/>
        </w:rPr>
        <w:t>, euro</w:t>
      </w:r>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A84072" w:rsidRPr="003D07A2" w14:paraId="0D86E087" w14:textId="77777777" w:rsidTr="00A84072">
        <w:trPr>
          <w:trHeight w:val="709"/>
          <w:jc w:val="center"/>
        </w:trPr>
        <w:tc>
          <w:tcPr>
            <w:tcW w:w="2219" w:type="dxa"/>
            <w:vAlign w:val="center"/>
          </w:tcPr>
          <w:p w14:paraId="42E0C519" w14:textId="77777777" w:rsidR="00A84072" w:rsidRPr="003D07A2" w:rsidRDefault="00A84072" w:rsidP="00A84072">
            <w:pPr>
              <w:jc w:val="center"/>
              <w:rPr>
                <w:rFonts w:cstheme="minorHAnsi"/>
              </w:rPr>
            </w:pPr>
            <w:r w:rsidRPr="003D07A2">
              <w:rPr>
                <w:rFonts w:cstheme="minorHAnsi"/>
              </w:rPr>
              <w:t>Pakalpojumu veidi</w:t>
            </w:r>
          </w:p>
        </w:tc>
        <w:tc>
          <w:tcPr>
            <w:tcW w:w="1270" w:type="dxa"/>
            <w:vAlign w:val="center"/>
          </w:tcPr>
          <w:p w14:paraId="2BF8D902" w14:textId="63BC1C52" w:rsidR="00A84072" w:rsidRPr="003D07A2" w:rsidRDefault="00A84072" w:rsidP="00A84072">
            <w:pPr>
              <w:jc w:val="center"/>
              <w:rPr>
                <w:rFonts w:cstheme="minorHAnsi"/>
              </w:rPr>
            </w:pPr>
            <w:r w:rsidRPr="003D07A2">
              <w:rPr>
                <w:rFonts w:cstheme="minorHAnsi"/>
              </w:rPr>
              <w:t>202</w:t>
            </w:r>
            <w:r>
              <w:rPr>
                <w:rFonts w:cstheme="minorHAnsi"/>
              </w:rPr>
              <w:t>2</w:t>
            </w:r>
            <w:r w:rsidRPr="003D07A2">
              <w:rPr>
                <w:rFonts w:cstheme="minorHAnsi"/>
              </w:rPr>
              <w:t>.g. fakts</w:t>
            </w:r>
          </w:p>
        </w:tc>
        <w:tc>
          <w:tcPr>
            <w:tcW w:w="1362" w:type="dxa"/>
            <w:vAlign w:val="center"/>
          </w:tcPr>
          <w:p w14:paraId="5403E7CE" w14:textId="03CA7B5F" w:rsidR="00A84072" w:rsidRPr="003D07A2" w:rsidRDefault="00A84072" w:rsidP="00A84072">
            <w:pPr>
              <w:jc w:val="center"/>
              <w:rPr>
                <w:rFonts w:cstheme="minorHAnsi"/>
              </w:rPr>
            </w:pPr>
            <w:r w:rsidRPr="003D07A2">
              <w:rPr>
                <w:rFonts w:cstheme="minorHAnsi"/>
              </w:rPr>
              <w:t>202</w:t>
            </w:r>
            <w:r>
              <w:rPr>
                <w:rFonts w:cstheme="minorHAnsi"/>
              </w:rPr>
              <w:t>3</w:t>
            </w:r>
            <w:r w:rsidRPr="003D07A2">
              <w:rPr>
                <w:rFonts w:cstheme="minorHAnsi"/>
              </w:rPr>
              <w:t>.g. plāns</w:t>
            </w:r>
          </w:p>
        </w:tc>
        <w:tc>
          <w:tcPr>
            <w:tcW w:w="1306" w:type="dxa"/>
            <w:vAlign w:val="center"/>
          </w:tcPr>
          <w:p w14:paraId="34E0A792" w14:textId="31DFC352" w:rsidR="00A84072" w:rsidRPr="003D07A2" w:rsidRDefault="00A84072" w:rsidP="00A84072">
            <w:pPr>
              <w:jc w:val="center"/>
              <w:rPr>
                <w:rFonts w:cstheme="minorHAnsi"/>
              </w:rPr>
            </w:pPr>
            <w:r w:rsidRPr="003D07A2">
              <w:rPr>
                <w:rFonts w:cstheme="minorHAnsi"/>
              </w:rPr>
              <w:t>202</w:t>
            </w:r>
            <w:r>
              <w:rPr>
                <w:rFonts w:cstheme="minorHAnsi"/>
              </w:rPr>
              <w:t>3</w:t>
            </w:r>
            <w:r w:rsidRPr="003D07A2">
              <w:rPr>
                <w:rFonts w:cstheme="minorHAnsi"/>
              </w:rPr>
              <w:t>.g. fakts</w:t>
            </w:r>
          </w:p>
        </w:tc>
        <w:tc>
          <w:tcPr>
            <w:tcW w:w="1351" w:type="dxa"/>
            <w:vAlign w:val="center"/>
          </w:tcPr>
          <w:p w14:paraId="29896ECC" w14:textId="06454DFE" w:rsidR="00A84072" w:rsidRPr="003D07A2" w:rsidRDefault="00A84072" w:rsidP="00A84072">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236" w:type="dxa"/>
            <w:vAlign w:val="center"/>
          </w:tcPr>
          <w:p w14:paraId="186C4B06" w14:textId="77777777" w:rsidR="00A84072" w:rsidRPr="003D07A2" w:rsidRDefault="00A84072" w:rsidP="00A84072">
            <w:pPr>
              <w:jc w:val="center"/>
              <w:rPr>
                <w:rFonts w:cstheme="minorHAnsi"/>
              </w:rPr>
            </w:pPr>
            <w:r w:rsidRPr="003D07A2">
              <w:rPr>
                <w:rFonts w:cstheme="minorHAnsi"/>
              </w:rPr>
              <w:t>Novirze pret plānu</w:t>
            </w:r>
          </w:p>
        </w:tc>
      </w:tr>
      <w:tr w:rsidR="00A84072" w:rsidRPr="003D07A2" w14:paraId="1849B81E" w14:textId="77777777" w:rsidTr="00A84072">
        <w:trPr>
          <w:trHeight w:val="488"/>
          <w:jc w:val="center"/>
        </w:trPr>
        <w:tc>
          <w:tcPr>
            <w:tcW w:w="2219" w:type="dxa"/>
          </w:tcPr>
          <w:p w14:paraId="0A604921" w14:textId="77777777" w:rsidR="00A84072" w:rsidRPr="003D07A2" w:rsidRDefault="00A84072" w:rsidP="00A84072">
            <w:pPr>
              <w:rPr>
                <w:rFonts w:cstheme="minorHAnsi"/>
              </w:rPr>
            </w:pPr>
            <w:r w:rsidRPr="003D07A2">
              <w:rPr>
                <w:rFonts w:cstheme="minorHAnsi"/>
              </w:rPr>
              <w:t>Stacionārie veselības aprūpes pakalpojumi</w:t>
            </w:r>
          </w:p>
        </w:tc>
        <w:tc>
          <w:tcPr>
            <w:tcW w:w="1270" w:type="dxa"/>
            <w:vAlign w:val="center"/>
          </w:tcPr>
          <w:p w14:paraId="5044F578" w14:textId="429750AD" w:rsidR="00A84072" w:rsidRDefault="00A84072" w:rsidP="00A84072">
            <w:pPr>
              <w:jc w:val="center"/>
              <w:rPr>
                <w:rFonts w:cstheme="minorHAnsi"/>
              </w:rPr>
            </w:pPr>
            <w:r>
              <w:rPr>
                <w:rFonts w:cstheme="minorHAnsi"/>
              </w:rPr>
              <w:t>2 211 288</w:t>
            </w:r>
          </w:p>
        </w:tc>
        <w:tc>
          <w:tcPr>
            <w:tcW w:w="1362" w:type="dxa"/>
            <w:vAlign w:val="center"/>
          </w:tcPr>
          <w:p w14:paraId="3FD79C2C" w14:textId="76CFFD93" w:rsidR="00A84072" w:rsidRPr="003D07A2" w:rsidRDefault="000557AF" w:rsidP="00A84072">
            <w:pPr>
              <w:jc w:val="center"/>
              <w:rPr>
                <w:rFonts w:cstheme="minorHAnsi"/>
              </w:rPr>
            </w:pPr>
            <w:r>
              <w:rPr>
                <w:rFonts w:cstheme="minorHAnsi"/>
              </w:rPr>
              <w:t>2 072 217</w:t>
            </w:r>
          </w:p>
        </w:tc>
        <w:tc>
          <w:tcPr>
            <w:tcW w:w="1306" w:type="dxa"/>
            <w:vAlign w:val="center"/>
          </w:tcPr>
          <w:p w14:paraId="4D8F1D99" w14:textId="3CD0DEFC" w:rsidR="00A84072" w:rsidRPr="003D07A2" w:rsidRDefault="00E1328A" w:rsidP="00A84072">
            <w:pPr>
              <w:jc w:val="center"/>
              <w:rPr>
                <w:rFonts w:cstheme="minorHAnsi"/>
              </w:rPr>
            </w:pPr>
            <w:r>
              <w:rPr>
                <w:rFonts w:cstheme="minorHAnsi"/>
              </w:rPr>
              <w:t>1 958 563</w:t>
            </w:r>
          </w:p>
        </w:tc>
        <w:tc>
          <w:tcPr>
            <w:tcW w:w="1351" w:type="dxa"/>
            <w:vAlign w:val="center"/>
          </w:tcPr>
          <w:p w14:paraId="066F59B7" w14:textId="2499203B" w:rsidR="00A84072" w:rsidRPr="003D07A2" w:rsidRDefault="000557AF" w:rsidP="00A84072">
            <w:pPr>
              <w:jc w:val="center"/>
              <w:rPr>
                <w:rFonts w:cstheme="minorHAnsi"/>
              </w:rPr>
            </w:pPr>
            <w:r>
              <w:rPr>
                <w:rFonts w:cstheme="minorHAnsi"/>
              </w:rPr>
              <w:t>-252 725</w:t>
            </w:r>
          </w:p>
        </w:tc>
        <w:tc>
          <w:tcPr>
            <w:tcW w:w="1236" w:type="dxa"/>
            <w:vAlign w:val="center"/>
          </w:tcPr>
          <w:p w14:paraId="78D180DE" w14:textId="6683013C" w:rsidR="00A84072" w:rsidRPr="003D07A2" w:rsidRDefault="0083582E" w:rsidP="00A84072">
            <w:pPr>
              <w:jc w:val="center"/>
              <w:rPr>
                <w:rFonts w:cstheme="minorHAnsi"/>
              </w:rPr>
            </w:pPr>
            <w:r>
              <w:rPr>
                <w:rFonts w:cstheme="minorHAnsi"/>
              </w:rPr>
              <w:t>-113 654</w:t>
            </w:r>
          </w:p>
        </w:tc>
      </w:tr>
      <w:tr w:rsidR="00A84072" w:rsidRPr="003D07A2" w14:paraId="15688485" w14:textId="77777777" w:rsidTr="00A84072">
        <w:trPr>
          <w:trHeight w:val="473"/>
          <w:jc w:val="center"/>
        </w:trPr>
        <w:tc>
          <w:tcPr>
            <w:tcW w:w="2219" w:type="dxa"/>
          </w:tcPr>
          <w:p w14:paraId="5F2906ED" w14:textId="77777777" w:rsidR="00A84072" w:rsidRPr="003D07A2" w:rsidRDefault="00A84072" w:rsidP="00A84072">
            <w:pPr>
              <w:rPr>
                <w:rFonts w:cstheme="minorHAnsi"/>
              </w:rPr>
            </w:pPr>
            <w:r w:rsidRPr="003D07A2">
              <w:rPr>
                <w:rFonts w:cstheme="minorHAnsi"/>
              </w:rPr>
              <w:t>Ambulatorie veselības aprūpes pakalpojumi</w:t>
            </w:r>
          </w:p>
        </w:tc>
        <w:tc>
          <w:tcPr>
            <w:tcW w:w="1270" w:type="dxa"/>
            <w:vAlign w:val="center"/>
          </w:tcPr>
          <w:p w14:paraId="451D2BFD" w14:textId="52DB02F3" w:rsidR="00A84072" w:rsidRDefault="00A84072" w:rsidP="00A84072">
            <w:pPr>
              <w:jc w:val="center"/>
              <w:rPr>
                <w:rFonts w:cstheme="minorHAnsi"/>
              </w:rPr>
            </w:pPr>
            <w:r>
              <w:rPr>
                <w:rFonts w:cstheme="minorHAnsi"/>
              </w:rPr>
              <w:t>184 586</w:t>
            </w:r>
          </w:p>
        </w:tc>
        <w:tc>
          <w:tcPr>
            <w:tcW w:w="1362" w:type="dxa"/>
            <w:vAlign w:val="center"/>
          </w:tcPr>
          <w:p w14:paraId="26AF8B48" w14:textId="6632E9FD" w:rsidR="00A84072" w:rsidRPr="003D07A2" w:rsidRDefault="00547333" w:rsidP="00A84072">
            <w:pPr>
              <w:jc w:val="center"/>
              <w:rPr>
                <w:rFonts w:cstheme="minorHAnsi"/>
              </w:rPr>
            </w:pPr>
            <w:r>
              <w:rPr>
                <w:rFonts w:cstheme="minorHAnsi"/>
              </w:rPr>
              <w:t>218 985</w:t>
            </w:r>
          </w:p>
        </w:tc>
        <w:tc>
          <w:tcPr>
            <w:tcW w:w="1306" w:type="dxa"/>
            <w:vAlign w:val="center"/>
          </w:tcPr>
          <w:p w14:paraId="377F0626" w14:textId="70C0535C" w:rsidR="00A84072" w:rsidRPr="003D07A2" w:rsidRDefault="00554845" w:rsidP="00A84072">
            <w:pPr>
              <w:jc w:val="center"/>
              <w:rPr>
                <w:rFonts w:cstheme="minorHAnsi"/>
              </w:rPr>
            </w:pPr>
            <w:r>
              <w:rPr>
                <w:rFonts w:cstheme="minorHAnsi"/>
              </w:rPr>
              <w:t>224 760</w:t>
            </w:r>
          </w:p>
        </w:tc>
        <w:tc>
          <w:tcPr>
            <w:tcW w:w="1351" w:type="dxa"/>
            <w:vAlign w:val="center"/>
          </w:tcPr>
          <w:p w14:paraId="1F1BB41A" w14:textId="2015D82E" w:rsidR="00A84072" w:rsidRPr="003D07A2" w:rsidRDefault="00554845" w:rsidP="00A84072">
            <w:pPr>
              <w:jc w:val="center"/>
              <w:rPr>
                <w:rFonts w:cstheme="minorHAnsi"/>
              </w:rPr>
            </w:pPr>
            <w:r>
              <w:rPr>
                <w:rFonts w:cstheme="minorHAnsi"/>
              </w:rPr>
              <w:t>+</w:t>
            </w:r>
            <w:r w:rsidR="00F92A54">
              <w:rPr>
                <w:rFonts w:cstheme="minorHAnsi"/>
              </w:rPr>
              <w:t>40 174</w:t>
            </w:r>
          </w:p>
        </w:tc>
        <w:tc>
          <w:tcPr>
            <w:tcW w:w="1236" w:type="dxa"/>
            <w:vAlign w:val="center"/>
          </w:tcPr>
          <w:p w14:paraId="04D90A30" w14:textId="295B76ED" w:rsidR="00A84072" w:rsidRPr="003D07A2" w:rsidRDefault="00554845" w:rsidP="00A84072">
            <w:pPr>
              <w:jc w:val="center"/>
              <w:rPr>
                <w:rFonts w:cstheme="minorHAnsi"/>
              </w:rPr>
            </w:pPr>
            <w:r>
              <w:rPr>
                <w:rFonts w:cstheme="minorHAnsi"/>
              </w:rPr>
              <w:t>+5 775</w:t>
            </w:r>
          </w:p>
        </w:tc>
      </w:tr>
      <w:tr w:rsidR="00A84072" w:rsidRPr="003D07A2" w14:paraId="6A2FD710" w14:textId="77777777" w:rsidTr="00A84072">
        <w:trPr>
          <w:trHeight w:val="473"/>
          <w:jc w:val="center"/>
        </w:trPr>
        <w:tc>
          <w:tcPr>
            <w:tcW w:w="2219" w:type="dxa"/>
          </w:tcPr>
          <w:p w14:paraId="65B094D1" w14:textId="77777777" w:rsidR="00A84072" w:rsidRPr="003D07A2" w:rsidRDefault="00A84072" w:rsidP="00A84072">
            <w:pPr>
              <w:rPr>
                <w:rFonts w:cstheme="minorHAnsi"/>
              </w:rPr>
            </w:pPr>
            <w:r w:rsidRPr="003D07A2">
              <w:rPr>
                <w:rFonts w:cstheme="minorHAnsi"/>
              </w:rPr>
              <w:t>Sociālā aprūpe un sociālā rehabilitācija</w:t>
            </w:r>
          </w:p>
        </w:tc>
        <w:tc>
          <w:tcPr>
            <w:tcW w:w="1270" w:type="dxa"/>
            <w:vAlign w:val="center"/>
          </w:tcPr>
          <w:p w14:paraId="3210EE33" w14:textId="6A64B9C0" w:rsidR="00A84072" w:rsidRDefault="00A84072" w:rsidP="00A84072">
            <w:pPr>
              <w:jc w:val="center"/>
              <w:rPr>
                <w:rFonts w:cstheme="minorHAnsi"/>
              </w:rPr>
            </w:pPr>
            <w:r>
              <w:rPr>
                <w:rFonts w:cstheme="minorHAnsi"/>
              </w:rPr>
              <w:t>338 978</w:t>
            </w:r>
          </w:p>
        </w:tc>
        <w:tc>
          <w:tcPr>
            <w:tcW w:w="1362" w:type="dxa"/>
            <w:vAlign w:val="center"/>
          </w:tcPr>
          <w:p w14:paraId="2BF2A7AF" w14:textId="70CCDEE0" w:rsidR="00A84072" w:rsidRPr="003D07A2" w:rsidRDefault="00C23FF1" w:rsidP="00A84072">
            <w:pPr>
              <w:jc w:val="center"/>
              <w:rPr>
                <w:rFonts w:cstheme="minorHAnsi"/>
              </w:rPr>
            </w:pPr>
            <w:r>
              <w:rPr>
                <w:rFonts w:cstheme="minorHAnsi"/>
              </w:rPr>
              <w:t>392 503</w:t>
            </w:r>
          </w:p>
        </w:tc>
        <w:tc>
          <w:tcPr>
            <w:tcW w:w="1306" w:type="dxa"/>
            <w:vAlign w:val="center"/>
          </w:tcPr>
          <w:p w14:paraId="1717ADEF" w14:textId="5304F492" w:rsidR="00A84072" w:rsidRPr="003D07A2" w:rsidRDefault="00C23FF1" w:rsidP="00A84072">
            <w:pPr>
              <w:jc w:val="center"/>
              <w:rPr>
                <w:rFonts w:cstheme="minorHAnsi"/>
              </w:rPr>
            </w:pPr>
            <w:r>
              <w:rPr>
                <w:rFonts w:cstheme="minorHAnsi"/>
              </w:rPr>
              <w:t>378 360</w:t>
            </w:r>
          </w:p>
        </w:tc>
        <w:tc>
          <w:tcPr>
            <w:tcW w:w="1351" w:type="dxa"/>
            <w:vAlign w:val="center"/>
          </w:tcPr>
          <w:p w14:paraId="027856A3" w14:textId="2E8613F2" w:rsidR="00A84072" w:rsidRPr="003D07A2" w:rsidRDefault="00C23FF1" w:rsidP="00A84072">
            <w:pPr>
              <w:jc w:val="center"/>
              <w:rPr>
                <w:rFonts w:cstheme="minorHAnsi"/>
              </w:rPr>
            </w:pPr>
            <w:r>
              <w:rPr>
                <w:rFonts w:cstheme="minorHAnsi"/>
              </w:rPr>
              <w:t>+39 382</w:t>
            </w:r>
          </w:p>
        </w:tc>
        <w:tc>
          <w:tcPr>
            <w:tcW w:w="1236" w:type="dxa"/>
            <w:vAlign w:val="center"/>
          </w:tcPr>
          <w:p w14:paraId="5DA05027" w14:textId="42AAC24F" w:rsidR="00A84072" w:rsidRPr="003D07A2" w:rsidRDefault="00E91B6C" w:rsidP="00A84072">
            <w:pPr>
              <w:jc w:val="center"/>
              <w:rPr>
                <w:rFonts w:cstheme="minorHAnsi"/>
              </w:rPr>
            </w:pPr>
            <w:r>
              <w:rPr>
                <w:rFonts w:cstheme="minorHAnsi"/>
              </w:rPr>
              <w:t>-14 14</w:t>
            </w:r>
            <w:r w:rsidR="00CB6947">
              <w:rPr>
                <w:rFonts w:cstheme="minorHAnsi"/>
              </w:rPr>
              <w:t>2</w:t>
            </w:r>
          </w:p>
        </w:tc>
      </w:tr>
      <w:tr w:rsidR="00A84072" w:rsidRPr="003D07A2" w14:paraId="1DD0F462" w14:textId="77777777" w:rsidTr="00A84072">
        <w:trPr>
          <w:trHeight w:val="473"/>
          <w:jc w:val="center"/>
        </w:trPr>
        <w:tc>
          <w:tcPr>
            <w:tcW w:w="2219" w:type="dxa"/>
          </w:tcPr>
          <w:p w14:paraId="485A6B10" w14:textId="77777777" w:rsidR="00A84072" w:rsidRPr="003D07A2" w:rsidRDefault="00A84072" w:rsidP="00A84072">
            <w:pPr>
              <w:rPr>
                <w:rFonts w:cstheme="minorHAnsi"/>
              </w:rPr>
            </w:pPr>
            <w:r w:rsidRPr="003D07A2">
              <w:rPr>
                <w:rFonts w:cstheme="minorHAnsi"/>
              </w:rPr>
              <w:t>Rezidentu apmācība</w:t>
            </w:r>
          </w:p>
        </w:tc>
        <w:tc>
          <w:tcPr>
            <w:tcW w:w="1270" w:type="dxa"/>
            <w:vAlign w:val="center"/>
          </w:tcPr>
          <w:p w14:paraId="45C46063" w14:textId="3536F496" w:rsidR="00A84072" w:rsidRDefault="00A84072" w:rsidP="00A84072">
            <w:pPr>
              <w:jc w:val="center"/>
              <w:rPr>
                <w:rFonts w:cstheme="minorHAnsi"/>
              </w:rPr>
            </w:pPr>
            <w:r>
              <w:rPr>
                <w:rFonts w:cstheme="minorHAnsi"/>
              </w:rPr>
              <w:t>122 841</w:t>
            </w:r>
          </w:p>
        </w:tc>
        <w:tc>
          <w:tcPr>
            <w:tcW w:w="1362" w:type="dxa"/>
            <w:vAlign w:val="center"/>
          </w:tcPr>
          <w:p w14:paraId="15889B0E" w14:textId="6228D4DF" w:rsidR="00A84072" w:rsidRPr="003D07A2" w:rsidRDefault="00E91B6C" w:rsidP="00A84072">
            <w:pPr>
              <w:jc w:val="center"/>
              <w:rPr>
                <w:rFonts w:cstheme="minorHAnsi"/>
              </w:rPr>
            </w:pPr>
            <w:r>
              <w:rPr>
                <w:rFonts w:cstheme="minorHAnsi"/>
              </w:rPr>
              <w:t>94 134</w:t>
            </w:r>
          </w:p>
        </w:tc>
        <w:tc>
          <w:tcPr>
            <w:tcW w:w="1306" w:type="dxa"/>
            <w:vAlign w:val="center"/>
          </w:tcPr>
          <w:p w14:paraId="34B11545" w14:textId="0DB65E91" w:rsidR="00A84072" w:rsidRPr="003D07A2" w:rsidRDefault="00E91B6C" w:rsidP="00A84072">
            <w:pPr>
              <w:jc w:val="center"/>
              <w:rPr>
                <w:rFonts w:cstheme="minorHAnsi"/>
              </w:rPr>
            </w:pPr>
            <w:r>
              <w:rPr>
                <w:rFonts w:cstheme="minorHAnsi"/>
              </w:rPr>
              <w:t>97 615</w:t>
            </w:r>
          </w:p>
        </w:tc>
        <w:tc>
          <w:tcPr>
            <w:tcW w:w="1351" w:type="dxa"/>
            <w:vAlign w:val="center"/>
          </w:tcPr>
          <w:p w14:paraId="0889BFDA" w14:textId="2B8F6492" w:rsidR="00A84072" w:rsidRPr="003D07A2" w:rsidRDefault="00635394" w:rsidP="00A84072">
            <w:pPr>
              <w:jc w:val="center"/>
              <w:rPr>
                <w:rFonts w:cstheme="minorHAnsi"/>
              </w:rPr>
            </w:pPr>
            <w:r>
              <w:rPr>
                <w:rFonts w:cstheme="minorHAnsi"/>
              </w:rPr>
              <w:t>-25 226</w:t>
            </w:r>
          </w:p>
        </w:tc>
        <w:tc>
          <w:tcPr>
            <w:tcW w:w="1236" w:type="dxa"/>
            <w:vAlign w:val="center"/>
          </w:tcPr>
          <w:p w14:paraId="2791C21F" w14:textId="68B000EA" w:rsidR="00A84072" w:rsidRPr="003D07A2" w:rsidRDefault="00CB6947" w:rsidP="00A84072">
            <w:pPr>
              <w:jc w:val="center"/>
              <w:rPr>
                <w:rFonts w:cstheme="minorHAnsi"/>
              </w:rPr>
            </w:pPr>
            <w:r>
              <w:rPr>
                <w:rFonts w:cstheme="minorHAnsi"/>
              </w:rPr>
              <w:t>+3 481</w:t>
            </w:r>
          </w:p>
        </w:tc>
      </w:tr>
      <w:tr w:rsidR="00A84072" w:rsidRPr="003D07A2" w14:paraId="1459C320" w14:textId="77777777" w:rsidTr="00A84072">
        <w:trPr>
          <w:trHeight w:val="473"/>
          <w:jc w:val="center"/>
        </w:trPr>
        <w:tc>
          <w:tcPr>
            <w:tcW w:w="2219" w:type="dxa"/>
          </w:tcPr>
          <w:p w14:paraId="743C1443" w14:textId="77777777" w:rsidR="00A84072" w:rsidRPr="003D07A2" w:rsidRDefault="00A84072" w:rsidP="00A84072">
            <w:pPr>
              <w:rPr>
                <w:rFonts w:cstheme="minorHAnsi"/>
              </w:rPr>
            </w:pPr>
            <w:r w:rsidRPr="003D07A2">
              <w:rPr>
                <w:rFonts w:cstheme="minorHAnsi"/>
              </w:rPr>
              <w:t>Uzņēmuma nopelnītie līdzekļi</w:t>
            </w:r>
          </w:p>
        </w:tc>
        <w:tc>
          <w:tcPr>
            <w:tcW w:w="1270" w:type="dxa"/>
            <w:vAlign w:val="center"/>
          </w:tcPr>
          <w:p w14:paraId="5E6470ED" w14:textId="1851DF4F" w:rsidR="00A84072" w:rsidRDefault="00A84072" w:rsidP="00A84072">
            <w:pPr>
              <w:jc w:val="center"/>
              <w:rPr>
                <w:rFonts w:cstheme="minorHAnsi"/>
              </w:rPr>
            </w:pPr>
            <w:r>
              <w:rPr>
                <w:rFonts w:cstheme="minorHAnsi"/>
              </w:rPr>
              <w:t>58 192</w:t>
            </w:r>
          </w:p>
        </w:tc>
        <w:tc>
          <w:tcPr>
            <w:tcW w:w="1362" w:type="dxa"/>
            <w:vAlign w:val="center"/>
          </w:tcPr>
          <w:p w14:paraId="6684AC7B" w14:textId="047E54D1" w:rsidR="00A84072" w:rsidRPr="003D07A2" w:rsidRDefault="00635394" w:rsidP="00A84072">
            <w:pPr>
              <w:jc w:val="center"/>
              <w:rPr>
                <w:rFonts w:cstheme="minorHAnsi"/>
              </w:rPr>
            </w:pPr>
            <w:r>
              <w:rPr>
                <w:rFonts w:cstheme="minorHAnsi"/>
              </w:rPr>
              <w:t>61 493</w:t>
            </w:r>
          </w:p>
        </w:tc>
        <w:tc>
          <w:tcPr>
            <w:tcW w:w="1306" w:type="dxa"/>
            <w:vAlign w:val="center"/>
          </w:tcPr>
          <w:p w14:paraId="0AD9E26C" w14:textId="0A453206" w:rsidR="00A84072" w:rsidRPr="003D07A2" w:rsidRDefault="00635394" w:rsidP="00A84072">
            <w:pPr>
              <w:jc w:val="center"/>
              <w:rPr>
                <w:rFonts w:cstheme="minorHAnsi"/>
              </w:rPr>
            </w:pPr>
            <w:r>
              <w:rPr>
                <w:rFonts w:cstheme="minorHAnsi"/>
              </w:rPr>
              <w:t>62 339</w:t>
            </w:r>
          </w:p>
        </w:tc>
        <w:tc>
          <w:tcPr>
            <w:tcW w:w="1351" w:type="dxa"/>
            <w:vAlign w:val="center"/>
          </w:tcPr>
          <w:p w14:paraId="63D006C0" w14:textId="20C672B8" w:rsidR="00A84072" w:rsidRPr="003D07A2" w:rsidRDefault="00FA6969" w:rsidP="00A84072">
            <w:pPr>
              <w:jc w:val="center"/>
              <w:rPr>
                <w:rFonts w:cstheme="minorHAnsi"/>
              </w:rPr>
            </w:pPr>
            <w:r>
              <w:rPr>
                <w:rFonts w:cstheme="minorHAnsi"/>
              </w:rPr>
              <w:t>+4 147</w:t>
            </w:r>
          </w:p>
        </w:tc>
        <w:tc>
          <w:tcPr>
            <w:tcW w:w="1236" w:type="dxa"/>
            <w:vAlign w:val="center"/>
          </w:tcPr>
          <w:p w14:paraId="3E9FD276" w14:textId="2E2036D3" w:rsidR="00A84072" w:rsidRPr="003D07A2" w:rsidRDefault="00FA6969" w:rsidP="00A84072">
            <w:pPr>
              <w:jc w:val="center"/>
              <w:rPr>
                <w:rFonts w:cstheme="minorHAnsi"/>
              </w:rPr>
            </w:pPr>
            <w:r>
              <w:rPr>
                <w:rFonts w:cstheme="minorHAnsi"/>
              </w:rPr>
              <w:t>+846</w:t>
            </w:r>
          </w:p>
        </w:tc>
      </w:tr>
    </w:tbl>
    <w:p w14:paraId="61B996F5" w14:textId="1F44F532" w:rsidR="00DF2D03" w:rsidRPr="003D07A2" w:rsidRDefault="00DF2D03" w:rsidP="003B1EDB">
      <w:pPr>
        <w:spacing w:before="100" w:beforeAutospacing="1" w:after="0"/>
        <w:jc w:val="both"/>
        <w:rPr>
          <w:rFonts w:cstheme="minorHAnsi"/>
        </w:rPr>
      </w:pPr>
      <w:r w:rsidRPr="003D07A2">
        <w:rPr>
          <w:rFonts w:cstheme="minorHAnsi"/>
        </w:rPr>
        <w:t>Ieņēmumu pieaugumu 202</w:t>
      </w:r>
      <w:r w:rsidR="00100A69">
        <w:rPr>
          <w:rFonts w:cstheme="minorHAnsi"/>
        </w:rPr>
        <w:t>2</w:t>
      </w:r>
      <w:r w:rsidRPr="003D07A2">
        <w:rPr>
          <w:rFonts w:cstheme="minorHAnsi"/>
        </w:rPr>
        <w:t>.gadā pārskata periodā</w:t>
      </w:r>
      <w:r w:rsidR="00C76F7C">
        <w:rPr>
          <w:rFonts w:cstheme="minorHAnsi"/>
        </w:rPr>
        <w:t xml:space="preserve"> pamata ietekmē gatavība režīma </w:t>
      </w:r>
      <w:r w:rsidR="00DB6C58">
        <w:rPr>
          <w:rFonts w:cstheme="minorHAnsi"/>
        </w:rPr>
        <w:t xml:space="preserve">nodrošināšanas </w:t>
      </w:r>
      <w:r w:rsidR="00C76F7C">
        <w:rPr>
          <w:rFonts w:cstheme="minorHAnsi"/>
        </w:rPr>
        <w:t>kompensācijas maksājuma saņemšana par 2021.gada 4.ceturksni, kas iekļauts NVD 2022.gada finanšu paziņojumā un kapitālsabiedrības 2022.gada budžetā.</w:t>
      </w:r>
    </w:p>
    <w:p w14:paraId="64C34A4E" w14:textId="7825A6D6" w:rsidR="00CC2A17"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vairāk kā </w:t>
      </w:r>
      <w:r w:rsidR="00914DB7">
        <w:rPr>
          <w:rFonts w:cstheme="minorHAnsi"/>
        </w:rPr>
        <w:t>2.9</w:t>
      </w:r>
      <w:r w:rsidR="00B05E77" w:rsidRPr="003D07A2">
        <w:rPr>
          <w:rFonts w:cstheme="minorHAnsi"/>
        </w:rPr>
        <w:t xml:space="preserve"> </w:t>
      </w:r>
      <w:r w:rsidRPr="003D07A2">
        <w:rPr>
          <w:rFonts w:cstheme="minorHAnsi"/>
        </w:rPr>
        <w:t>miljoni euro, salīdzinot ar 20</w:t>
      </w:r>
      <w:r w:rsidR="00781C1D">
        <w:rPr>
          <w:rFonts w:cstheme="minorHAnsi"/>
        </w:rPr>
        <w:t>2</w:t>
      </w:r>
      <w:r w:rsidR="00914DB7">
        <w:rPr>
          <w:rFonts w:cstheme="minorHAnsi"/>
        </w:rPr>
        <w:t>2</w:t>
      </w:r>
      <w:r w:rsidRPr="003D07A2">
        <w:rPr>
          <w:rFonts w:cstheme="minorHAnsi"/>
        </w:rPr>
        <w:t>.gad</w:t>
      </w:r>
      <w:r w:rsidR="00A2684F" w:rsidRPr="003D07A2">
        <w:rPr>
          <w:rFonts w:cstheme="minorHAnsi"/>
        </w:rPr>
        <w:t>u</w:t>
      </w:r>
      <w:r w:rsidR="00A822D5">
        <w:rPr>
          <w:rFonts w:cstheme="minorHAnsi"/>
        </w:rPr>
        <w:t xml:space="preserve"> un budžeta plānu</w:t>
      </w:r>
      <w:r w:rsidRPr="003D07A2">
        <w:rPr>
          <w:rFonts w:cstheme="minorHAnsi"/>
        </w:rPr>
        <w:t xml:space="preserve">, tas ir par </w:t>
      </w:r>
      <w:r w:rsidR="00781C1D">
        <w:rPr>
          <w:rFonts w:cstheme="minorHAnsi"/>
        </w:rPr>
        <w:t>0.</w:t>
      </w:r>
      <w:r w:rsidR="00886317">
        <w:rPr>
          <w:rFonts w:cstheme="minorHAnsi"/>
        </w:rPr>
        <w:t>0</w:t>
      </w:r>
      <w:r w:rsidR="00781C1D">
        <w:rPr>
          <w:rFonts w:cstheme="minorHAnsi"/>
        </w:rPr>
        <w:t>7</w:t>
      </w:r>
      <w:r w:rsidR="00B43CC5" w:rsidRPr="003D07A2">
        <w:rPr>
          <w:rFonts w:cstheme="minorHAnsi"/>
        </w:rPr>
        <w:t xml:space="preserve"> milj</w:t>
      </w:r>
      <w:r w:rsidRPr="003D07A2">
        <w:rPr>
          <w:rFonts w:cstheme="minorHAnsi"/>
        </w:rPr>
        <w:t xml:space="preserve"> euro </w:t>
      </w:r>
      <w:r w:rsidR="00886317">
        <w:rPr>
          <w:rFonts w:cstheme="minorHAnsi"/>
        </w:rPr>
        <w:t>mazāk</w:t>
      </w:r>
      <w:r w:rsidR="00A822D5">
        <w:rPr>
          <w:rFonts w:cstheme="minorHAnsi"/>
        </w:rPr>
        <w:t>.</w:t>
      </w:r>
      <w:r w:rsidR="004B467A">
        <w:rPr>
          <w:rFonts w:cstheme="minorHAnsi"/>
        </w:rPr>
        <w:t xml:space="preserve"> </w:t>
      </w:r>
    </w:p>
    <w:p w14:paraId="69386AC8" w14:textId="2B1A04D6" w:rsidR="00B414E2" w:rsidRPr="003D07A2" w:rsidRDefault="00B414E2" w:rsidP="00FA2AE6">
      <w:pPr>
        <w:spacing w:before="100" w:beforeAutospacing="1" w:after="100" w:afterAutospacing="1"/>
        <w:jc w:val="both"/>
        <w:rPr>
          <w:rFonts w:cstheme="minorHAnsi"/>
        </w:rPr>
      </w:pPr>
      <w:r>
        <w:rPr>
          <w:rFonts w:cstheme="minorHAnsi"/>
        </w:rPr>
        <w:t xml:space="preserve">2022.gada pārskata periodu ietekmēja pandēmijas Covid-19 pasākumu kompensācijas </w:t>
      </w:r>
      <w:r w:rsidR="00B54504">
        <w:rPr>
          <w:rFonts w:cstheme="minorHAnsi"/>
        </w:rPr>
        <w:t>(369 702 euro), kas nav aktuāli 2023.gadā.</w:t>
      </w:r>
    </w:p>
    <w:p w14:paraId="29C25485" w14:textId="154BC0F4" w:rsidR="007B12D7" w:rsidRPr="003D07A2" w:rsidRDefault="00587186" w:rsidP="00FA2AE6">
      <w:pPr>
        <w:spacing w:before="100" w:beforeAutospacing="1" w:after="100" w:afterAutospacing="1"/>
        <w:jc w:val="center"/>
        <w:rPr>
          <w:rFonts w:cstheme="minorHAnsi"/>
        </w:rPr>
      </w:pPr>
      <w:r w:rsidRPr="003D07A2">
        <w:rPr>
          <w:rFonts w:cstheme="minorHAnsi"/>
          <w:b/>
          <w:bCs/>
        </w:rPr>
        <w:t>Izdevumi</w:t>
      </w:r>
      <w:r w:rsidRPr="003D07A2">
        <w:rPr>
          <w:rFonts w:cstheme="minorHAnsi"/>
        </w:rPr>
        <w:t>, euro</w:t>
      </w:r>
    </w:p>
    <w:tbl>
      <w:tblPr>
        <w:tblStyle w:val="Reatabula"/>
        <w:tblW w:w="8495" w:type="dxa"/>
        <w:tblLook w:val="04A0" w:firstRow="1" w:lastRow="0" w:firstColumn="1" w:lastColumn="0" w:noHBand="0" w:noVBand="1"/>
      </w:tblPr>
      <w:tblGrid>
        <w:gridCol w:w="2388"/>
        <w:gridCol w:w="1155"/>
        <w:gridCol w:w="1362"/>
        <w:gridCol w:w="1327"/>
        <w:gridCol w:w="1264"/>
        <w:gridCol w:w="999"/>
      </w:tblGrid>
      <w:tr w:rsidR="00F07DFF" w:rsidRPr="003D07A2" w14:paraId="04C8EDA7" w14:textId="77777777" w:rsidTr="00F07DFF">
        <w:tc>
          <w:tcPr>
            <w:tcW w:w="2388" w:type="dxa"/>
            <w:vAlign w:val="center"/>
          </w:tcPr>
          <w:p w14:paraId="1F314710" w14:textId="77777777" w:rsidR="00F07DFF" w:rsidRPr="003D07A2" w:rsidRDefault="00F07DFF" w:rsidP="00F07DFF">
            <w:pPr>
              <w:jc w:val="center"/>
              <w:rPr>
                <w:rFonts w:cstheme="minorHAnsi"/>
              </w:rPr>
            </w:pPr>
            <w:r w:rsidRPr="003D07A2">
              <w:rPr>
                <w:rFonts w:cstheme="minorHAnsi"/>
              </w:rPr>
              <w:t>Galvenie izdevumu veidi</w:t>
            </w:r>
          </w:p>
        </w:tc>
        <w:tc>
          <w:tcPr>
            <w:tcW w:w="1155" w:type="dxa"/>
            <w:vAlign w:val="center"/>
          </w:tcPr>
          <w:p w14:paraId="1FB84EA4" w14:textId="5856C921" w:rsidR="00F07DFF" w:rsidRPr="003D07A2" w:rsidRDefault="00F07DFF" w:rsidP="00F07DFF">
            <w:pPr>
              <w:jc w:val="center"/>
              <w:rPr>
                <w:rFonts w:cstheme="minorHAnsi"/>
              </w:rPr>
            </w:pPr>
            <w:r w:rsidRPr="003D07A2">
              <w:rPr>
                <w:rFonts w:cstheme="minorHAnsi"/>
              </w:rPr>
              <w:t>202</w:t>
            </w:r>
            <w:r>
              <w:rPr>
                <w:rFonts w:cstheme="minorHAnsi"/>
              </w:rPr>
              <w:t>2</w:t>
            </w:r>
            <w:r w:rsidRPr="003D07A2">
              <w:rPr>
                <w:rFonts w:cstheme="minorHAnsi"/>
              </w:rPr>
              <w:t>.g. fakts</w:t>
            </w:r>
          </w:p>
        </w:tc>
        <w:tc>
          <w:tcPr>
            <w:tcW w:w="1362" w:type="dxa"/>
            <w:vAlign w:val="center"/>
          </w:tcPr>
          <w:p w14:paraId="07E6BFB8" w14:textId="63B96A47" w:rsidR="00F07DFF" w:rsidRPr="003D07A2" w:rsidRDefault="00F07DFF" w:rsidP="00F07DFF">
            <w:pPr>
              <w:jc w:val="center"/>
              <w:rPr>
                <w:rFonts w:cstheme="minorHAnsi"/>
              </w:rPr>
            </w:pPr>
            <w:r w:rsidRPr="003D07A2">
              <w:rPr>
                <w:rFonts w:cstheme="minorHAnsi"/>
              </w:rPr>
              <w:t>202</w:t>
            </w:r>
            <w:r>
              <w:rPr>
                <w:rFonts w:cstheme="minorHAnsi"/>
              </w:rPr>
              <w:t>3</w:t>
            </w:r>
            <w:r w:rsidRPr="003D07A2">
              <w:rPr>
                <w:rFonts w:cstheme="minorHAnsi"/>
              </w:rPr>
              <w:t>.g. plāns</w:t>
            </w:r>
          </w:p>
        </w:tc>
        <w:tc>
          <w:tcPr>
            <w:tcW w:w="1327" w:type="dxa"/>
            <w:vAlign w:val="center"/>
          </w:tcPr>
          <w:p w14:paraId="3A55AA98" w14:textId="35CC931E" w:rsidR="00F07DFF" w:rsidRPr="003D07A2" w:rsidRDefault="00F07DFF" w:rsidP="00F07DFF">
            <w:pPr>
              <w:jc w:val="center"/>
              <w:rPr>
                <w:rFonts w:cstheme="minorHAnsi"/>
              </w:rPr>
            </w:pPr>
            <w:r w:rsidRPr="003D07A2">
              <w:rPr>
                <w:rFonts w:cstheme="minorHAnsi"/>
              </w:rPr>
              <w:t>202</w:t>
            </w:r>
            <w:r>
              <w:rPr>
                <w:rFonts w:cstheme="minorHAnsi"/>
              </w:rPr>
              <w:t>3</w:t>
            </w:r>
            <w:r w:rsidRPr="003D07A2">
              <w:rPr>
                <w:rFonts w:cstheme="minorHAnsi"/>
              </w:rPr>
              <w:t>.g. fakts</w:t>
            </w:r>
          </w:p>
        </w:tc>
        <w:tc>
          <w:tcPr>
            <w:tcW w:w="1264" w:type="dxa"/>
            <w:vAlign w:val="center"/>
          </w:tcPr>
          <w:p w14:paraId="037E5E44" w14:textId="76B526F1" w:rsidR="00F07DFF" w:rsidRPr="003D07A2" w:rsidRDefault="00F07DFF" w:rsidP="00F07DFF">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999" w:type="dxa"/>
            <w:vAlign w:val="center"/>
          </w:tcPr>
          <w:p w14:paraId="21F31066" w14:textId="77777777" w:rsidR="00F07DFF" w:rsidRPr="003D07A2" w:rsidRDefault="00F07DFF" w:rsidP="00F07DFF">
            <w:pPr>
              <w:jc w:val="center"/>
              <w:rPr>
                <w:rFonts w:cstheme="minorHAnsi"/>
              </w:rPr>
            </w:pPr>
            <w:r w:rsidRPr="003D07A2">
              <w:rPr>
                <w:rFonts w:cstheme="minorHAnsi"/>
              </w:rPr>
              <w:t>Novirze pret plānu</w:t>
            </w:r>
          </w:p>
        </w:tc>
      </w:tr>
      <w:tr w:rsidR="00F07DFF" w:rsidRPr="003D07A2" w14:paraId="4F7686DF" w14:textId="77777777" w:rsidTr="00F07DFF">
        <w:tc>
          <w:tcPr>
            <w:tcW w:w="2388" w:type="dxa"/>
          </w:tcPr>
          <w:p w14:paraId="2B51D5EB" w14:textId="77777777" w:rsidR="00F07DFF" w:rsidRPr="003D07A2" w:rsidRDefault="00F07DFF" w:rsidP="00F07DFF">
            <w:pPr>
              <w:rPr>
                <w:rFonts w:cstheme="minorHAnsi"/>
              </w:rPr>
            </w:pPr>
            <w:r w:rsidRPr="003D07A2">
              <w:rPr>
                <w:rFonts w:cstheme="minorHAnsi"/>
              </w:rPr>
              <w:t>Atalgojums</w:t>
            </w:r>
          </w:p>
        </w:tc>
        <w:tc>
          <w:tcPr>
            <w:tcW w:w="1155" w:type="dxa"/>
            <w:vAlign w:val="center"/>
          </w:tcPr>
          <w:p w14:paraId="2624C59D" w14:textId="146ECB83" w:rsidR="00F07DFF" w:rsidRDefault="00F07DFF" w:rsidP="00F07DFF">
            <w:pPr>
              <w:jc w:val="center"/>
              <w:rPr>
                <w:rFonts w:cstheme="minorHAnsi"/>
              </w:rPr>
            </w:pPr>
            <w:r>
              <w:rPr>
                <w:rFonts w:cstheme="minorHAnsi"/>
              </w:rPr>
              <w:t>1 991 907</w:t>
            </w:r>
          </w:p>
        </w:tc>
        <w:tc>
          <w:tcPr>
            <w:tcW w:w="1362" w:type="dxa"/>
            <w:vAlign w:val="center"/>
          </w:tcPr>
          <w:p w14:paraId="73BDF3E0" w14:textId="7AC74BED" w:rsidR="00F07DFF" w:rsidRPr="003D07A2" w:rsidRDefault="00D17EE5" w:rsidP="00F07DFF">
            <w:pPr>
              <w:jc w:val="center"/>
              <w:rPr>
                <w:rFonts w:cstheme="minorHAnsi"/>
              </w:rPr>
            </w:pPr>
            <w:r>
              <w:rPr>
                <w:rFonts w:cstheme="minorHAnsi"/>
              </w:rPr>
              <w:t>1 920 954</w:t>
            </w:r>
          </w:p>
        </w:tc>
        <w:tc>
          <w:tcPr>
            <w:tcW w:w="1327" w:type="dxa"/>
            <w:vAlign w:val="center"/>
          </w:tcPr>
          <w:p w14:paraId="5941DAF9" w14:textId="7B9E4051" w:rsidR="00F07DFF" w:rsidRPr="003D07A2" w:rsidRDefault="00D17EE5" w:rsidP="00F07DFF">
            <w:pPr>
              <w:jc w:val="center"/>
              <w:rPr>
                <w:rFonts w:cstheme="minorHAnsi"/>
              </w:rPr>
            </w:pPr>
            <w:r>
              <w:rPr>
                <w:rFonts w:cstheme="minorHAnsi"/>
              </w:rPr>
              <w:t>1 913 321</w:t>
            </w:r>
          </w:p>
        </w:tc>
        <w:tc>
          <w:tcPr>
            <w:tcW w:w="1264" w:type="dxa"/>
            <w:vAlign w:val="center"/>
          </w:tcPr>
          <w:p w14:paraId="4E7A7360" w14:textId="3F49C741" w:rsidR="00F07DFF" w:rsidRPr="003D07A2" w:rsidRDefault="003F5B30" w:rsidP="00F07DFF">
            <w:pPr>
              <w:jc w:val="center"/>
              <w:rPr>
                <w:rFonts w:cstheme="minorHAnsi"/>
              </w:rPr>
            </w:pPr>
            <w:r>
              <w:rPr>
                <w:rFonts w:cstheme="minorHAnsi"/>
              </w:rPr>
              <w:t>-78 586</w:t>
            </w:r>
          </w:p>
        </w:tc>
        <w:tc>
          <w:tcPr>
            <w:tcW w:w="999" w:type="dxa"/>
            <w:vAlign w:val="center"/>
          </w:tcPr>
          <w:p w14:paraId="4AA8F973" w14:textId="13AAF915" w:rsidR="00F07DFF" w:rsidRPr="003D07A2" w:rsidRDefault="003F5B30" w:rsidP="00F07DFF">
            <w:pPr>
              <w:jc w:val="center"/>
              <w:rPr>
                <w:rFonts w:cstheme="minorHAnsi"/>
              </w:rPr>
            </w:pPr>
            <w:r>
              <w:rPr>
                <w:rFonts w:cstheme="minorHAnsi"/>
              </w:rPr>
              <w:t>-7 633</w:t>
            </w:r>
          </w:p>
        </w:tc>
      </w:tr>
      <w:tr w:rsidR="00F07DFF" w:rsidRPr="003D07A2" w14:paraId="6AD30082" w14:textId="77777777" w:rsidTr="00F07DFF">
        <w:tc>
          <w:tcPr>
            <w:tcW w:w="2388" w:type="dxa"/>
          </w:tcPr>
          <w:p w14:paraId="1120E78A" w14:textId="77777777" w:rsidR="00F07DFF" w:rsidRPr="003D07A2" w:rsidRDefault="00F07DFF" w:rsidP="00F07DFF">
            <w:pPr>
              <w:rPr>
                <w:rFonts w:cstheme="minorHAnsi"/>
              </w:rPr>
            </w:pPr>
            <w:r w:rsidRPr="003D07A2">
              <w:rPr>
                <w:rFonts w:cstheme="minorHAnsi"/>
              </w:rPr>
              <w:t>Darba devēja valsts sociālās apdrošināšanas obligātās iemaksas, slimības nauda u.c.</w:t>
            </w:r>
          </w:p>
        </w:tc>
        <w:tc>
          <w:tcPr>
            <w:tcW w:w="1155" w:type="dxa"/>
            <w:vAlign w:val="center"/>
          </w:tcPr>
          <w:p w14:paraId="121B73E9" w14:textId="79821B55" w:rsidR="00F07DFF" w:rsidRDefault="00F07DFF" w:rsidP="00F07DFF">
            <w:pPr>
              <w:jc w:val="center"/>
              <w:rPr>
                <w:rFonts w:cstheme="minorHAnsi"/>
              </w:rPr>
            </w:pPr>
            <w:r>
              <w:rPr>
                <w:rFonts w:cstheme="minorHAnsi"/>
              </w:rPr>
              <w:t>566 854</w:t>
            </w:r>
          </w:p>
        </w:tc>
        <w:tc>
          <w:tcPr>
            <w:tcW w:w="1362" w:type="dxa"/>
            <w:vAlign w:val="center"/>
          </w:tcPr>
          <w:p w14:paraId="031BB68D" w14:textId="139382D3" w:rsidR="00F07DFF" w:rsidRPr="003D07A2" w:rsidRDefault="003F5B30" w:rsidP="00F07DFF">
            <w:pPr>
              <w:jc w:val="center"/>
              <w:rPr>
                <w:rFonts w:cstheme="minorHAnsi"/>
              </w:rPr>
            </w:pPr>
            <w:r>
              <w:rPr>
                <w:rFonts w:cstheme="minorHAnsi"/>
              </w:rPr>
              <w:t>489 449</w:t>
            </w:r>
          </w:p>
        </w:tc>
        <w:tc>
          <w:tcPr>
            <w:tcW w:w="1327" w:type="dxa"/>
            <w:vAlign w:val="center"/>
          </w:tcPr>
          <w:p w14:paraId="5936FB3D" w14:textId="47C74ABD" w:rsidR="00F07DFF" w:rsidRPr="003D07A2" w:rsidRDefault="00C7337B" w:rsidP="00F07DFF">
            <w:pPr>
              <w:jc w:val="center"/>
              <w:rPr>
                <w:rFonts w:cstheme="minorHAnsi"/>
              </w:rPr>
            </w:pPr>
            <w:r>
              <w:rPr>
                <w:rFonts w:cstheme="minorHAnsi"/>
              </w:rPr>
              <w:t>492 246</w:t>
            </w:r>
          </w:p>
        </w:tc>
        <w:tc>
          <w:tcPr>
            <w:tcW w:w="1264" w:type="dxa"/>
            <w:vAlign w:val="center"/>
          </w:tcPr>
          <w:p w14:paraId="2D513FF6" w14:textId="0B142A66" w:rsidR="00F07DFF" w:rsidRPr="003D07A2" w:rsidRDefault="00C201D8" w:rsidP="00F07DFF">
            <w:pPr>
              <w:jc w:val="center"/>
              <w:rPr>
                <w:rFonts w:cstheme="minorHAnsi"/>
              </w:rPr>
            </w:pPr>
            <w:r>
              <w:rPr>
                <w:rFonts w:cstheme="minorHAnsi"/>
              </w:rPr>
              <w:t>-74 608</w:t>
            </w:r>
          </w:p>
        </w:tc>
        <w:tc>
          <w:tcPr>
            <w:tcW w:w="999" w:type="dxa"/>
            <w:vAlign w:val="center"/>
          </w:tcPr>
          <w:p w14:paraId="210F80F5" w14:textId="2AB4B875" w:rsidR="00F07DFF" w:rsidRPr="003D07A2" w:rsidRDefault="00C7337B" w:rsidP="00F07DFF">
            <w:pPr>
              <w:jc w:val="center"/>
              <w:rPr>
                <w:rFonts w:cstheme="minorHAnsi"/>
              </w:rPr>
            </w:pPr>
            <w:r>
              <w:rPr>
                <w:rFonts w:cstheme="minorHAnsi"/>
              </w:rPr>
              <w:t>+2 797</w:t>
            </w:r>
          </w:p>
        </w:tc>
      </w:tr>
      <w:tr w:rsidR="00F07DFF" w:rsidRPr="003D07A2" w14:paraId="5819F5E3" w14:textId="77777777" w:rsidTr="00F07DFF">
        <w:tc>
          <w:tcPr>
            <w:tcW w:w="2388" w:type="dxa"/>
          </w:tcPr>
          <w:p w14:paraId="3BC75C56" w14:textId="77777777" w:rsidR="00F07DFF" w:rsidRPr="003D07A2" w:rsidRDefault="00F07DFF" w:rsidP="00F07DFF">
            <w:pPr>
              <w:rPr>
                <w:rFonts w:cstheme="minorHAnsi"/>
              </w:rPr>
            </w:pPr>
            <w:r w:rsidRPr="003D07A2">
              <w:rPr>
                <w:rFonts w:cstheme="minorHAnsi"/>
              </w:rPr>
              <w:t>Pakalpojumi</w:t>
            </w:r>
          </w:p>
        </w:tc>
        <w:tc>
          <w:tcPr>
            <w:tcW w:w="1155" w:type="dxa"/>
            <w:vAlign w:val="center"/>
          </w:tcPr>
          <w:p w14:paraId="61FE5A91" w14:textId="0F5F754E" w:rsidR="00F07DFF" w:rsidRDefault="00F07DFF" w:rsidP="00F07DFF">
            <w:pPr>
              <w:jc w:val="center"/>
              <w:rPr>
                <w:rFonts w:cstheme="minorHAnsi"/>
              </w:rPr>
            </w:pPr>
            <w:r>
              <w:rPr>
                <w:rFonts w:cstheme="minorHAnsi"/>
              </w:rPr>
              <w:t>136 009</w:t>
            </w:r>
          </w:p>
        </w:tc>
        <w:tc>
          <w:tcPr>
            <w:tcW w:w="1362" w:type="dxa"/>
            <w:vAlign w:val="center"/>
          </w:tcPr>
          <w:p w14:paraId="0481039F" w14:textId="524DF725" w:rsidR="00F07DFF" w:rsidRPr="003D07A2" w:rsidRDefault="00C201D8" w:rsidP="00F07DFF">
            <w:pPr>
              <w:jc w:val="center"/>
              <w:rPr>
                <w:rFonts w:cstheme="minorHAnsi"/>
              </w:rPr>
            </w:pPr>
            <w:r>
              <w:rPr>
                <w:rFonts w:cstheme="minorHAnsi"/>
              </w:rPr>
              <w:t>337 166</w:t>
            </w:r>
          </w:p>
        </w:tc>
        <w:tc>
          <w:tcPr>
            <w:tcW w:w="1327" w:type="dxa"/>
            <w:vAlign w:val="center"/>
          </w:tcPr>
          <w:p w14:paraId="64749099" w14:textId="4BDB2968" w:rsidR="00F07DFF" w:rsidRPr="003D07A2" w:rsidRDefault="00C201D8" w:rsidP="00F07DFF">
            <w:pPr>
              <w:jc w:val="center"/>
              <w:rPr>
                <w:rFonts w:cstheme="minorHAnsi"/>
              </w:rPr>
            </w:pPr>
            <w:r>
              <w:rPr>
                <w:rFonts w:cstheme="minorHAnsi"/>
              </w:rPr>
              <w:t>270 494</w:t>
            </w:r>
          </w:p>
        </w:tc>
        <w:tc>
          <w:tcPr>
            <w:tcW w:w="1264" w:type="dxa"/>
            <w:vAlign w:val="center"/>
          </w:tcPr>
          <w:p w14:paraId="66DC335E" w14:textId="48169327" w:rsidR="00F07DFF" w:rsidRPr="003D07A2" w:rsidRDefault="000F236C" w:rsidP="00F07DFF">
            <w:pPr>
              <w:jc w:val="center"/>
              <w:rPr>
                <w:rFonts w:cstheme="minorHAnsi"/>
              </w:rPr>
            </w:pPr>
            <w:r>
              <w:rPr>
                <w:rFonts w:cstheme="minorHAnsi"/>
              </w:rPr>
              <w:t>+ 134 485</w:t>
            </w:r>
          </w:p>
        </w:tc>
        <w:tc>
          <w:tcPr>
            <w:tcW w:w="999" w:type="dxa"/>
            <w:vAlign w:val="center"/>
          </w:tcPr>
          <w:p w14:paraId="28AB8BAB" w14:textId="7E17D3C9" w:rsidR="00F07DFF" w:rsidRPr="003D07A2" w:rsidRDefault="00C201D8" w:rsidP="00F07DFF">
            <w:pPr>
              <w:jc w:val="center"/>
              <w:rPr>
                <w:rFonts w:cstheme="minorHAnsi"/>
              </w:rPr>
            </w:pPr>
            <w:r>
              <w:rPr>
                <w:rFonts w:cstheme="minorHAnsi"/>
              </w:rPr>
              <w:t>-66 672</w:t>
            </w:r>
          </w:p>
        </w:tc>
      </w:tr>
      <w:tr w:rsidR="00F07DFF" w:rsidRPr="003D07A2" w14:paraId="7362D1BC" w14:textId="77777777" w:rsidTr="00F07DFF">
        <w:tc>
          <w:tcPr>
            <w:tcW w:w="2388" w:type="dxa"/>
          </w:tcPr>
          <w:p w14:paraId="76FAEC57" w14:textId="77777777" w:rsidR="00F07DFF" w:rsidRPr="003D07A2" w:rsidRDefault="00F07DFF" w:rsidP="00F07DFF">
            <w:pPr>
              <w:rPr>
                <w:rFonts w:cstheme="minorHAnsi"/>
              </w:rPr>
            </w:pPr>
            <w:r w:rsidRPr="003D07A2">
              <w:rPr>
                <w:rFonts w:cstheme="minorHAnsi"/>
              </w:rPr>
              <w:lastRenderedPageBreak/>
              <w:t>Medikamenti, medicīnas preces, dezinfekcijas līdzekļi</w:t>
            </w:r>
          </w:p>
        </w:tc>
        <w:tc>
          <w:tcPr>
            <w:tcW w:w="1155" w:type="dxa"/>
            <w:vAlign w:val="center"/>
          </w:tcPr>
          <w:p w14:paraId="04A621E6" w14:textId="5C23FAB0" w:rsidR="00F07DFF" w:rsidRDefault="00F07DFF" w:rsidP="00F07DFF">
            <w:pPr>
              <w:jc w:val="center"/>
              <w:rPr>
                <w:rFonts w:cstheme="minorHAnsi"/>
              </w:rPr>
            </w:pPr>
            <w:r>
              <w:rPr>
                <w:rFonts w:cstheme="minorHAnsi"/>
              </w:rPr>
              <w:t>100 048</w:t>
            </w:r>
          </w:p>
        </w:tc>
        <w:tc>
          <w:tcPr>
            <w:tcW w:w="1362" w:type="dxa"/>
            <w:vAlign w:val="center"/>
          </w:tcPr>
          <w:p w14:paraId="0CB87018" w14:textId="443F2498" w:rsidR="00F07DFF" w:rsidRPr="003D07A2" w:rsidRDefault="000F236C" w:rsidP="00F07DFF">
            <w:pPr>
              <w:jc w:val="center"/>
              <w:rPr>
                <w:rFonts w:cstheme="minorHAnsi"/>
              </w:rPr>
            </w:pPr>
            <w:r>
              <w:rPr>
                <w:rFonts w:cstheme="minorHAnsi"/>
              </w:rPr>
              <w:t>72 825</w:t>
            </w:r>
          </w:p>
        </w:tc>
        <w:tc>
          <w:tcPr>
            <w:tcW w:w="1327" w:type="dxa"/>
            <w:vAlign w:val="center"/>
          </w:tcPr>
          <w:p w14:paraId="1AB10B68" w14:textId="4554BA4D" w:rsidR="00F07DFF" w:rsidRPr="003D07A2" w:rsidRDefault="000F236C" w:rsidP="00F07DFF">
            <w:pPr>
              <w:jc w:val="center"/>
              <w:rPr>
                <w:rFonts w:cstheme="minorHAnsi"/>
              </w:rPr>
            </w:pPr>
            <w:r>
              <w:rPr>
                <w:rFonts w:cstheme="minorHAnsi"/>
              </w:rPr>
              <w:t>66 685</w:t>
            </w:r>
          </w:p>
        </w:tc>
        <w:tc>
          <w:tcPr>
            <w:tcW w:w="1264" w:type="dxa"/>
            <w:vAlign w:val="center"/>
          </w:tcPr>
          <w:p w14:paraId="150F6196" w14:textId="4B153F2F" w:rsidR="00F07DFF" w:rsidRPr="003D07A2" w:rsidRDefault="001B4386" w:rsidP="00F07DFF">
            <w:pPr>
              <w:jc w:val="center"/>
              <w:rPr>
                <w:rFonts w:cstheme="minorHAnsi"/>
              </w:rPr>
            </w:pPr>
            <w:r>
              <w:rPr>
                <w:rFonts w:cstheme="minorHAnsi"/>
              </w:rPr>
              <w:t>-33 363</w:t>
            </w:r>
          </w:p>
        </w:tc>
        <w:tc>
          <w:tcPr>
            <w:tcW w:w="999" w:type="dxa"/>
            <w:vAlign w:val="center"/>
          </w:tcPr>
          <w:p w14:paraId="0A1F71F1" w14:textId="2D7339EE" w:rsidR="00F07DFF" w:rsidRPr="003D07A2" w:rsidRDefault="000F236C" w:rsidP="00F07DFF">
            <w:pPr>
              <w:jc w:val="center"/>
              <w:rPr>
                <w:rFonts w:cstheme="minorHAnsi"/>
              </w:rPr>
            </w:pPr>
            <w:r>
              <w:rPr>
                <w:rFonts w:cstheme="minorHAnsi"/>
              </w:rPr>
              <w:t>-</w:t>
            </w:r>
            <w:r w:rsidR="001B4386">
              <w:rPr>
                <w:rFonts w:cstheme="minorHAnsi"/>
              </w:rPr>
              <w:t>6 140</w:t>
            </w:r>
          </w:p>
        </w:tc>
      </w:tr>
      <w:tr w:rsidR="00F07DFF" w:rsidRPr="003D07A2" w14:paraId="70D24B67" w14:textId="77777777" w:rsidTr="00F07DFF">
        <w:tc>
          <w:tcPr>
            <w:tcW w:w="2388" w:type="dxa"/>
          </w:tcPr>
          <w:p w14:paraId="3115196D" w14:textId="77777777" w:rsidR="00F07DFF" w:rsidRPr="003D07A2" w:rsidRDefault="00F07DFF" w:rsidP="00F07DFF">
            <w:pPr>
              <w:rPr>
                <w:rFonts w:cstheme="minorHAnsi"/>
              </w:rPr>
            </w:pPr>
            <w:r w:rsidRPr="003D07A2">
              <w:rPr>
                <w:rFonts w:cstheme="minorHAnsi"/>
              </w:rPr>
              <w:t>Pārtikas produkti</w:t>
            </w:r>
          </w:p>
        </w:tc>
        <w:tc>
          <w:tcPr>
            <w:tcW w:w="1155" w:type="dxa"/>
            <w:vAlign w:val="center"/>
          </w:tcPr>
          <w:p w14:paraId="027266DB" w14:textId="6B552B78" w:rsidR="00F07DFF" w:rsidRDefault="00F07DFF" w:rsidP="00F07DFF">
            <w:pPr>
              <w:jc w:val="center"/>
              <w:rPr>
                <w:rFonts w:cstheme="minorHAnsi"/>
              </w:rPr>
            </w:pPr>
            <w:r>
              <w:rPr>
                <w:rFonts w:cstheme="minorHAnsi"/>
              </w:rPr>
              <w:t>64 622</w:t>
            </w:r>
          </w:p>
        </w:tc>
        <w:tc>
          <w:tcPr>
            <w:tcW w:w="1362" w:type="dxa"/>
            <w:vAlign w:val="center"/>
          </w:tcPr>
          <w:p w14:paraId="0B78683A" w14:textId="27240349" w:rsidR="00F07DFF" w:rsidRPr="003D07A2" w:rsidRDefault="001B4386" w:rsidP="00F07DFF">
            <w:pPr>
              <w:jc w:val="center"/>
              <w:rPr>
                <w:rFonts w:cstheme="minorHAnsi"/>
              </w:rPr>
            </w:pPr>
            <w:r>
              <w:rPr>
                <w:rFonts w:cstheme="minorHAnsi"/>
              </w:rPr>
              <w:t>79 146</w:t>
            </w:r>
          </w:p>
        </w:tc>
        <w:tc>
          <w:tcPr>
            <w:tcW w:w="1327" w:type="dxa"/>
            <w:vAlign w:val="center"/>
          </w:tcPr>
          <w:p w14:paraId="25433EAE" w14:textId="468939E6" w:rsidR="00F07DFF" w:rsidRPr="003D07A2" w:rsidRDefault="001B4386" w:rsidP="00F07DFF">
            <w:pPr>
              <w:jc w:val="center"/>
              <w:rPr>
                <w:rFonts w:cstheme="minorHAnsi"/>
              </w:rPr>
            </w:pPr>
            <w:r>
              <w:rPr>
                <w:rFonts w:cstheme="minorHAnsi"/>
              </w:rPr>
              <w:t>85 960</w:t>
            </w:r>
          </w:p>
        </w:tc>
        <w:tc>
          <w:tcPr>
            <w:tcW w:w="1264" w:type="dxa"/>
            <w:vAlign w:val="center"/>
          </w:tcPr>
          <w:p w14:paraId="1FC8693D" w14:textId="7907595A" w:rsidR="00F07DFF" w:rsidRPr="003D07A2" w:rsidRDefault="00FA71CE" w:rsidP="00F07DFF">
            <w:pPr>
              <w:jc w:val="center"/>
              <w:rPr>
                <w:rFonts w:cstheme="minorHAnsi"/>
              </w:rPr>
            </w:pPr>
            <w:r>
              <w:rPr>
                <w:rFonts w:cstheme="minorHAnsi"/>
              </w:rPr>
              <w:t>+21 338</w:t>
            </w:r>
          </w:p>
        </w:tc>
        <w:tc>
          <w:tcPr>
            <w:tcW w:w="999" w:type="dxa"/>
            <w:vAlign w:val="center"/>
          </w:tcPr>
          <w:p w14:paraId="6679FC56" w14:textId="49A678C1" w:rsidR="00F07DFF" w:rsidRPr="003D07A2" w:rsidRDefault="001B4386" w:rsidP="00F07DFF">
            <w:pPr>
              <w:jc w:val="center"/>
              <w:rPr>
                <w:rFonts w:cstheme="minorHAnsi"/>
              </w:rPr>
            </w:pPr>
            <w:r>
              <w:rPr>
                <w:rFonts w:cstheme="minorHAnsi"/>
              </w:rPr>
              <w:t>+</w:t>
            </w:r>
            <w:r w:rsidR="00FA71CE">
              <w:rPr>
                <w:rFonts w:cstheme="minorHAnsi"/>
              </w:rPr>
              <w:t>6 814</w:t>
            </w:r>
          </w:p>
        </w:tc>
      </w:tr>
      <w:tr w:rsidR="00F07DFF" w:rsidRPr="003D07A2" w14:paraId="34D0448B" w14:textId="77777777" w:rsidTr="00F07DFF">
        <w:tc>
          <w:tcPr>
            <w:tcW w:w="2388" w:type="dxa"/>
          </w:tcPr>
          <w:p w14:paraId="4EA3984B" w14:textId="77777777" w:rsidR="00F07DFF" w:rsidRPr="003D07A2" w:rsidRDefault="00F07DFF" w:rsidP="00F07DFF">
            <w:pPr>
              <w:rPr>
                <w:rFonts w:cstheme="minorHAnsi"/>
              </w:rPr>
            </w:pPr>
            <w:r w:rsidRPr="003D07A2">
              <w:rPr>
                <w:rFonts w:cstheme="minorHAnsi"/>
              </w:rPr>
              <w:t>Preču un materiālu iegāde</w:t>
            </w:r>
          </w:p>
        </w:tc>
        <w:tc>
          <w:tcPr>
            <w:tcW w:w="1155" w:type="dxa"/>
            <w:vAlign w:val="center"/>
          </w:tcPr>
          <w:p w14:paraId="5368FAFB" w14:textId="3D718C43" w:rsidR="00F07DFF" w:rsidRDefault="00F07DFF" w:rsidP="00F07DFF">
            <w:pPr>
              <w:jc w:val="center"/>
              <w:rPr>
                <w:rFonts w:cstheme="minorHAnsi"/>
              </w:rPr>
            </w:pPr>
            <w:r>
              <w:rPr>
                <w:rFonts w:cstheme="minorHAnsi"/>
              </w:rPr>
              <w:t>87 889</w:t>
            </w:r>
          </w:p>
        </w:tc>
        <w:tc>
          <w:tcPr>
            <w:tcW w:w="1362" w:type="dxa"/>
            <w:vAlign w:val="center"/>
          </w:tcPr>
          <w:p w14:paraId="71F0A72A" w14:textId="0D7DECED" w:rsidR="00F07DFF" w:rsidRPr="003D07A2" w:rsidRDefault="00403C8A" w:rsidP="00F07DFF">
            <w:pPr>
              <w:jc w:val="center"/>
              <w:rPr>
                <w:rFonts w:cstheme="minorHAnsi"/>
              </w:rPr>
            </w:pPr>
            <w:r>
              <w:rPr>
                <w:rFonts w:cstheme="minorHAnsi"/>
              </w:rPr>
              <w:t>46 143</w:t>
            </w:r>
          </w:p>
        </w:tc>
        <w:tc>
          <w:tcPr>
            <w:tcW w:w="1327" w:type="dxa"/>
            <w:vAlign w:val="center"/>
          </w:tcPr>
          <w:p w14:paraId="3849EA2C" w14:textId="1DC1254E" w:rsidR="00F07DFF" w:rsidRPr="003D07A2" w:rsidRDefault="00F87300" w:rsidP="00F07DFF">
            <w:pPr>
              <w:jc w:val="center"/>
              <w:rPr>
                <w:rFonts w:cstheme="minorHAnsi"/>
              </w:rPr>
            </w:pPr>
            <w:r>
              <w:rPr>
                <w:rFonts w:cstheme="minorHAnsi"/>
              </w:rPr>
              <w:t>39 554</w:t>
            </w:r>
          </w:p>
        </w:tc>
        <w:tc>
          <w:tcPr>
            <w:tcW w:w="1264" w:type="dxa"/>
            <w:vAlign w:val="center"/>
          </w:tcPr>
          <w:p w14:paraId="06A973D4" w14:textId="5F8EFDA7" w:rsidR="00F07DFF" w:rsidRPr="003D07A2" w:rsidRDefault="001320CA" w:rsidP="00F07DFF">
            <w:pPr>
              <w:jc w:val="center"/>
              <w:rPr>
                <w:rFonts w:cstheme="minorHAnsi"/>
              </w:rPr>
            </w:pPr>
            <w:r>
              <w:rPr>
                <w:rFonts w:cstheme="minorHAnsi"/>
              </w:rPr>
              <w:t>-48 335</w:t>
            </w:r>
          </w:p>
        </w:tc>
        <w:tc>
          <w:tcPr>
            <w:tcW w:w="999" w:type="dxa"/>
            <w:vAlign w:val="center"/>
          </w:tcPr>
          <w:p w14:paraId="2DCD3753" w14:textId="08692496" w:rsidR="00F07DFF" w:rsidRPr="003D07A2" w:rsidRDefault="00F87300" w:rsidP="00F07DFF">
            <w:pPr>
              <w:jc w:val="center"/>
              <w:rPr>
                <w:rFonts w:cstheme="minorHAnsi"/>
              </w:rPr>
            </w:pPr>
            <w:r>
              <w:rPr>
                <w:rFonts w:cstheme="minorHAnsi"/>
              </w:rPr>
              <w:t>-6 589</w:t>
            </w:r>
          </w:p>
        </w:tc>
      </w:tr>
      <w:tr w:rsidR="00F07DFF" w:rsidRPr="003D07A2" w14:paraId="5EF22AB4" w14:textId="77777777" w:rsidTr="00F07DFF">
        <w:tc>
          <w:tcPr>
            <w:tcW w:w="2388" w:type="dxa"/>
          </w:tcPr>
          <w:p w14:paraId="34E256B9" w14:textId="77777777" w:rsidR="00F07DFF" w:rsidRPr="003D07A2" w:rsidRDefault="00F07DFF" w:rsidP="00F07DFF">
            <w:pPr>
              <w:rPr>
                <w:rFonts w:cstheme="minorHAnsi"/>
              </w:rPr>
            </w:pPr>
            <w:r w:rsidRPr="003D07A2">
              <w:rPr>
                <w:rFonts w:cstheme="minorHAnsi"/>
              </w:rPr>
              <w:t>Ilgtermiņa ieguldījumu nolietojums</w:t>
            </w:r>
          </w:p>
        </w:tc>
        <w:tc>
          <w:tcPr>
            <w:tcW w:w="1155" w:type="dxa"/>
            <w:vAlign w:val="center"/>
          </w:tcPr>
          <w:p w14:paraId="0AF13D42" w14:textId="481EAEF2" w:rsidR="00F07DFF" w:rsidRDefault="00F07DFF" w:rsidP="00F07DFF">
            <w:pPr>
              <w:jc w:val="center"/>
              <w:rPr>
                <w:rFonts w:cstheme="minorHAnsi"/>
              </w:rPr>
            </w:pPr>
            <w:r>
              <w:rPr>
                <w:rFonts w:cstheme="minorHAnsi"/>
              </w:rPr>
              <w:t>67 028</w:t>
            </w:r>
          </w:p>
        </w:tc>
        <w:tc>
          <w:tcPr>
            <w:tcW w:w="1362" w:type="dxa"/>
            <w:vAlign w:val="center"/>
          </w:tcPr>
          <w:p w14:paraId="45B52358" w14:textId="20740150" w:rsidR="00F07DFF" w:rsidRPr="003D07A2" w:rsidRDefault="001320CA" w:rsidP="00F07DFF">
            <w:pPr>
              <w:jc w:val="center"/>
              <w:rPr>
                <w:rFonts w:cstheme="minorHAnsi"/>
              </w:rPr>
            </w:pPr>
            <w:r>
              <w:rPr>
                <w:rFonts w:cstheme="minorHAnsi"/>
              </w:rPr>
              <w:t>72 647</w:t>
            </w:r>
          </w:p>
        </w:tc>
        <w:tc>
          <w:tcPr>
            <w:tcW w:w="1327" w:type="dxa"/>
            <w:vAlign w:val="center"/>
          </w:tcPr>
          <w:p w14:paraId="5119C7DA" w14:textId="1DC2E00B" w:rsidR="00F07DFF" w:rsidRPr="003D07A2" w:rsidRDefault="001320CA" w:rsidP="00F07DFF">
            <w:pPr>
              <w:jc w:val="center"/>
              <w:rPr>
                <w:rFonts w:cstheme="minorHAnsi"/>
              </w:rPr>
            </w:pPr>
            <w:r>
              <w:rPr>
                <w:rFonts w:cstheme="minorHAnsi"/>
              </w:rPr>
              <w:t>72 822</w:t>
            </w:r>
          </w:p>
        </w:tc>
        <w:tc>
          <w:tcPr>
            <w:tcW w:w="1264" w:type="dxa"/>
            <w:vAlign w:val="center"/>
          </w:tcPr>
          <w:p w14:paraId="6514CAB6" w14:textId="3CB8AC5C" w:rsidR="00F07DFF" w:rsidRPr="003D07A2" w:rsidRDefault="009B27F5" w:rsidP="00F07DFF">
            <w:pPr>
              <w:jc w:val="center"/>
              <w:rPr>
                <w:rFonts w:cstheme="minorHAnsi"/>
              </w:rPr>
            </w:pPr>
            <w:r>
              <w:rPr>
                <w:rFonts w:cstheme="minorHAnsi"/>
              </w:rPr>
              <w:t>+5 794</w:t>
            </w:r>
          </w:p>
        </w:tc>
        <w:tc>
          <w:tcPr>
            <w:tcW w:w="999" w:type="dxa"/>
            <w:vAlign w:val="center"/>
          </w:tcPr>
          <w:p w14:paraId="69B1A41F" w14:textId="3404D206" w:rsidR="00F07DFF" w:rsidRPr="003D07A2" w:rsidRDefault="001320CA" w:rsidP="00F07DFF">
            <w:pPr>
              <w:jc w:val="center"/>
              <w:rPr>
                <w:rFonts w:cstheme="minorHAnsi"/>
              </w:rPr>
            </w:pPr>
            <w:r>
              <w:rPr>
                <w:rFonts w:cstheme="minorHAnsi"/>
              </w:rPr>
              <w:t>+175</w:t>
            </w:r>
          </w:p>
        </w:tc>
      </w:tr>
    </w:tbl>
    <w:p w14:paraId="0D0A09DA" w14:textId="0022F7C2" w:rsidR="003D5327" w:rsidRPr="003D07A2" w:rsidRDefault="009B27F5" w:rsidP="00FA2AE6">
      <w:pPr>
        <w:spacing w:before="100" w:beforeAutospacing="1" w:after="100" w:afterAutospacing="1"/>
        <w:jc w:val="both"/>
        <w:rPr>
          <w:rFonts w:cstheme="minorHAnsi"/>
        </w:rPr>
      </w:pPr>
      <w:r>
        <w:rPr>
          <w:rFonts w:cstheme="minorHAnsi"/>
        </w:rPr>
        <w:t xml:space="preserve">2023.gada 1.ceturksnī </w:t>
      </w:r>
      <w:r w:rsidR="006B79D9">
        <w:rPr>
          <w:rFonts w:cstheme="minorHAnsi"/>
        </w:rPr>
        <w:t xml:space="preserve">kapitālsabiedrībā nodarbinātajiem </w:t>
      </w:r>
      <w:r>
        <w:rPr>
          <w:rFonts w:cstheme="minorHAnsi"/>
        </w:rPr>
        <w:t>nav pal</w:t>
      </w:r>
      <w:r w:rsidR="006B79D9">
        <w:rPr>
          <w:rFonts w:cstheme="minorHAnsi"/>
        </w:rPr>
        <w:t>ie</w:t>
      </w:r>
      <w:r>
        <w:rPr>
          <w:rFonts w:cstheme="minorHAnsi"/>
        </w:rPr>
        <w:t>lināts atalgojums</w:t>
      </w:r>
      <w:r w:rsidR="008742A2">
        <w:rPr>
          <w:rFonts w:cstheme="minorHAnsi"/>
        </w:rPr>
        <w:t>. Atšķirības pamatā</w:t>
      </w:r>
      <w:r w:rsidR="001E0226">
        <w:rPr>
          <w:rFonts w:cstheme="minorHAnsi"/>
        </w:rPr>
        <w:t xml:space="preserve"> a</w:t>
      </w:r>
      <w:r w:rsidR="008742A2">
        <w:rPr>
          <w:rFonts w:cstheme="minorHAnsi"/>
        </w:rPr>
        <w:t xml:space="preserve">r 2022.gadu </w:t>
      </w:r>
      <w:r w:rsidR="001E0226">
        <w:rPr>
          <w:rFonts w:cstheme="minorHAnsi"/>
        </w:rPr>
        <w:t>, ir izmaksātās piemaksas darbiniekiem par darbu ar Covid-19 pacientiem.</w:t>
      </w:r>
    </w:p>
    <w:p w14:paraId="55289AFA" w14:textId="0A0AFDEA" w:rsidR="001D2AFE" w:rsidRPr="00DB6C58" w:rsidRDefault="001D2AFE" w:rsidP="00FA2AE6">
      <w:pPr>
        <w:spacing w:before="100" w:beforeAutospacing="1" w:after="100" w:afterAutospacing="1"/>
        <w:jc w:val="both"/>
        <w:rPr>
          <w:rFonts w:cstheme="minorHAnsi"/>
        </w:rPr>
      </w:pPr>
      <w:r w:rsidRPr="00DB6C58">
        <w:rPr>
          <w:rFonts w:cstheme="minorHAnsi"/>
        </w:rPr>
        <w:t xml:space="preserve">Sabiedrības pārskata perioda saimnieciskās darbības rezultāts ir </w:t>
      </w:r>
      <w:r w:rsidR="00326431">
        <w:rPr>
          <w:rFonts w:cstheme="minorHAnsi"/>
        </w:rPr>
        <w:t>zaudējumi 229 893</w:t>
      </w:r>
      <w:r w:rsidRPr="00DB6C58">
        <w:rPr>
          <w:rFonts w:cstheme="minorHAnsi"/>
        </w:rPr>
        <w:t xml:space="preserve"> euro apmērā, </w:t>
      </w:r>
      <w:r w:rsidR="00326431">
        <w:rPr>
          <w:rFonts w:cstheme="minorHAnsi"/>
        </w:rPr>
        <w:t xml:space="preserve">2022.gadā -peļņa 260 493 euro; </w:t>
      </w:r>
      <w:r w:rsidRPr="00DB6C58">
        <w:rPr>
          <w:rFonts w:cstheme="minorHAnsi"/>
        </w:rPr>
        <w:t>20</w:t>
      </w:r>
      <w:r w:rsidR="008558D6" w:rsidRPr="00DB6C58">
        <w:rPr>
          <w:rFonts w:cstheme="minorHAnsi"/>
        </w:rPr>
        <w:t>2</w:t>
      </w:r>
      <w:r w:rsidR="00A06E8B" w:rsidRPr="00DB6C58">
        <w:rPr>
          <w:rFonts w:cstheme="minorHAnsi"/>
        </w:rPr>
        <w:t>1</w:t>
      </w:r>
      <w:r w:rsidRPr="00DB6C58">
        <w:rPr>
          <w:rFonts w:cstheme="minorHAnsi"/>
        </w:rPr>
        <w:t>.gad</w:t>
      </w:r>
      <w:r w:rsidR="00B74136" w:rsidRPr="00DB6C58">
        <w:rPr>
          <w:rFonts w:cstheme="minorHAnsi"/>
        </w:rPr>
        <w:t>ā</w:t>
      </w:r>
      <w:r w:rsidRPr="00DB6C58">
        <w:rPr>
          <w:rFonts w:cstheme="minorHAnsi"/>
        </w:rPr>
        <w:t xml:space="preserve"> peļņa </w:t>
      </w:r>
      <w:r w:rsidR="008558D6" w:rsidRPr="00DB6C58">
        <w:rPr>
          <w:rFonts w:cstheme="minorHAnsi"/>
        </w:rPr>
        <w:t xml:space="preserve">ir </w:t>
      </w:r>
      <w:r w:rsidR="00D37E07" w:rsidRPr="00DB6C58">
        <w:rPr>
          <w:rFonts w:cstheme="minorHAnsi"/>
        </w:rPr>
        <w:t>168 261</w:t>
      </w:r>
      <w:r w:rsidR="008558D6" w:rsidRPr="00DB6C58">
        <w:rPr>
          <w:rFonts w:cstheme="minorHAnsi"/>
        </w:rPr>
        <w:t xml:space="preserve"> </w:t>
      </w:r>
      <w:r w:rsidRPr="00DB6C58">
        <w:rPr>
          <w:rFonts w:cstheme="minorHAnsi"/>
        </w:rPr>
        <w:t xml:space="preserve">euro, bet plāns – peļņa </w:t>
      </w:r>
      <w:r w:rsidR="00D37E07" w:rsidRPr="00DB6C58">
        <w:rPr>
          <w:rFonts w:cstheme="minorHAnsi"/>
        </w:rPr>
        <w:t>79 882</w:t>
      </w:r>
      <w:r w:rsidRPr="00DB6C58">
        <w:rPr>
          <w:rFonts w:cstheme="minorHAnsi"/>
        </w:rPr>
        <w:t xml:space="preserve"> euro.</w:t>
      </w:r>
    </w:p>
    <w:p w14:paraId="11CE5E29" w14:textId="2D8E9D5E" w:rsidR="00B74136" w:rsidRPr="003D07A2" w:rsidRDefault="00B74136" w:rsidP="00FA2AE6">
      <w:pPr>
        <w:spacing w:before="100" w:beforeAutospacing="1" w:after="100" w:afterAutospacing="1"/>
        <w:jc w:val="both"/>
        <w:rPr>
          <w:rFonts w:cstheme="minorHAnsi"/>
        </w:rPr>
      </w:pPr>
      <w:r w:rsidRPr="00DB6C58">
        <w:rPr>
          <w:rFonts w:cstheme="minorHAnsi"/>
        </w:rPr>
        <w:t>Salīdzinot 202</w:t>
      </w:r>
      <w:r w:rsidR="008522B7">
        <w:rPr>
          <w:rFonts w:cstheme="minorHAnsi"/>
        </w:rPr>
        <w:t>3</w:t>
      </w:r>
      <w:r w:rsidRPr="00DB6C58">
        <w:rPr>
          <w:rFonts w:cstheme="minorHAnsi"/>
        </w:rPr>
        <w:t xml:space="preserve">.gadu ar iepriekšējo </w:t>
      </w:r>
      <w:r w:rsidR="008522B7">
        <w:rPr>
          <w:rFonts w:cstheme="minorHAnsi"/>
        </w:rPr>
        <w:t>gadu</w:t>
      </w:r>
      <w:r w:rsidRPr="00DB6C58">
        <w:rPr>
          <w:rFonts w:cstheme="minorHAnsi"/>
        </w:rPr>
        <w:t xml:space="preserve">, var secināt, ka </w:t>
      </w:r>
      <w:r w:rsidR="00947B67" w:rsidRPr="00DB6C58">
        <w:rPr>
          <w:rFonts w:cstheme="minorHAnsi"/>
        </w:rPr>
        <w:t>ir</w:t>
      </w:r>
      <w:r w:rsidRPr="00DB6C58">
        <w:rPr>
          <w:rFonts w:cstheme="minorHAnsi"/>
        </w:rPr>
        <w:t xml:space="preserve"> būtiskas novirzes bruto pelņas rādītājā </w:t>
      </w:r>
      <w:r w:rsidR="00A34111" w:rsidRPr="00DB6C58">
        <w:rPr>
          <w:rFonts w:cstheme="minorHAnsi"/>
        </w:rPr>
        <w:t>(</w:t>
      </w:r>
      <w:r w:rsidRPr="00DB6C58">
        <w:rPr>
          <w:rFonts w:cstheme="minorHAnsi"/>
        </w:rPr>
        <w:t xml:space="preserve"> </w:t>
      </w:r>
      <w:r w:rsidR="008522B7">
        <w:rPr>
          <w:rFonts w:cstheme="minorHAnsi"/>
        </w:rPr>
        <w:t>2023.ga</w:t>
      </w:r>
      <w:r w:rsidR="002B195A">
        <w:rPr>
          <w:rFonts w:cstheme="minorHAnsi"/>
        </w:rPr>
        <w:t xml:space="preserve">dā -69 638 euro; </w:t>
      </w:r>
      <w:r w:rsidRPr="00DB6C58">
        <w:rPr>
          <w:rFonts w:cstheme="minorHAnsi"/>
        </w:rPr>
        <w:t>202</w:t>
      </w:r>
      <w:r w:rsidR="00947B67" w:rsidRPr="00DB6C58">
        <w:rPr>
          <w:rFonts w:cstheme="minorHAnsi"/>
        </w:rPr>
        <w:t>2</w:t>
      </w:r>
      <w:r w:rsidRPr="00DB6C58">
        <w:rPr>
          <w:rFonts w:cstheme="minorHAnsi"/>
        </w:rPr>
        <w:t xml:space="preserve">.gadā </w:t>
      </w:r>
      <w:r w:rsidR="00947B67" w:rsidRPr="00DB6C58">
        <w:rPr>
          <w:rFonts w:cstheme="minorHAnsi"/>
        </w:rPr>
        <w:t>397 718</w:t>
      </w:r>
      <w:r w:rsidRPr="00DB6C58">
        <w:rPr>
          <w:rFonts w:cstheme="minorHAnsi"/>
        </w:rPr>
        <w:t xml:space="preserve"> euro, 20</w:t>
      </w:r>
      <w:r w:rsidR="008558D6" w:rsidRPr="00DB6C58">
        <w:rPr>
          <w:rFonts w:cstheme="minorHAnsi"/>
        </w:rPr>
        <w:t>2</w:t>
      </w:r>
      <w:r w:rsidR="00947B67" w:rsidRPr="00DB6C58">
        <w:rPr>
          <w:rFonts w:cstheme="minorHAnsi"/>
        </w:rPr>
        <w:t>1</w:t>
      </w:r>
      <w:r w:rsidRPr="00DB6C58">
        <w:rPr>
          <w:rFonts w:cstheme="minorHAnsi"/>
        </w:rPr>
        <w:t xml:space="preserve">.gadā </w:t>
      </w:r>
      <w:r w:rsidR="00947B67" w:rsidRPr="00DB6C58">
        <w:rPr>
          <w:rFonts w:cstheme="minorHAnsi"/>
        </w:rPr>
        <w:t>187 215</w:t>
      </w:r>
      <w:r w:rsidR="00A34111" w:rsidRPr="00DB6C58">
        <w:rPr>
          <w:rFonts w:cstheme="minorHAnsi"/>
        </w:rPr>
        <w:t xml:space="preserve"> euro).</w:t>
      </w:r>
      <w:r w:rsidR="00947B67" w:rsidRPr="00DB6C58">
        <w:rPr>
          <w:rFonts w:cstheme="minorHAnsi"/>
        </w:rPr>
        <w:t xml:space="preserve"> Iemesls</w:t>
      </w:r>
      <w:r w:rsidR="00947B67">
        <w:rPr>
          <w:rFonts w:cstheme="minorHAnsi"/>
        </w:rPr>
        <w:t xml:space="preserve"> ir gatavības</w:t>
      </w:r>
      <w:r w:rsidR="007E6EF7">
        <w:rPr>
          <w:rFonts w:cstheme="minorHAnsi"/>
        </w:rPr>
        <w:t xml:space="preserve"> režīma nodrošināšanas maksājumam </w:t>
      </w:r>
      <w:r w:rsidR="00DB6C58">
        <w:rPr>
          <w:rFonts w:cstheme="minorHAnsi"/>
        </w:rPr>
        <w:t>192 606 euro apmērā</w:t>
      </w:r>
      <w:r w:rsidR="00B2170C">
        <w:rPr>
          <w:rFonts w:cstheme="minorHAnsi"/>
        </w:rPr>
        <w:t xml:space="preserve"> saņemšana 2022.gadā par 2021.gada </w:t>
      </w:r>
      <w:r w:rsidR="00F2372A">
        <w:rPr>
          <w:rFonts w:cstheme="minorHAnsi"/>
        </w:rPr>
        <w:t xml:space="preserve">4.ceturksni, kā arī 2023.gada </w:t>
      </w:r>
      <w:r w:rsidR="00BF03D4">
        <w:rPr>
          <w:rFonts w:cstheme="minorHAnsi"/>
        </w:rPr>
        <w:t xml:space="preserve">ieņēmumu samazinājums un izdevumu pieaugums. </w:t>
      </w:r>
      <w:r w:rsidR="00447ED0" w:rsidRPr="00447ED0">
        <w:rPr>
          <w:rFonts w:cstheme="minorHAnsi"/>
        </w:rPr>
        <w:t>Ja pārskata periodā NVD apmaksātu visu stacionāra sniegto veselības aprūpes pakalpojumu apjomu - 223 328.62 euro un tiktu veikts norēķins arī par sniegtajiem medicīniskās rehabilitācijas pakalpojumiem (aptuveni 30 tūkst.euro) 03.2023.</w:t>
      </w:r>
      <w:r w:rsidR="00447ED0">
        <w:rPr>
          <w:rFonts w:cstheme="minorHAnsi"/>
        </w:rPr>
        <w:t>,</w:t>
      </w:r>
      <w:r w:rsidR="00447ED0" w:rsidRPr="00447ED0">
        <w:rPr>
          <w:rFonts w:cstheme="minorHAnsi"/>
        </w:rPr>
        <w:t>tad slimnīcai būtu peļņa, sasniedzot 20 tūkst.euro.</w:t>
      </w:r>
    </w:p>
    <w:p w14:paraId="38067670" w14:textId="3DEE991E" w:rsidR="005F5952" w:rsidRPr="00267BEC" w:rsidRDefault="005F5952" w:rsidP="00FA2AE6">
      <w:pPr>
        <w:spacing w:before="100" w:beforeAutospacing="1" w:after="100" w:afterAutospacing="1"/>
        <w:jc w:val="both"/>
        <w:rPr>
          <w:rFonts w:cstheme="minorHAnsi"/>
        </w:rPr>
      </w:pPr>
      <w:r w:rsidRPr="00267BEC">
        <w:rPr>
          <w:rFonts w:cstheme="minorHAnsi"/>
        </w:rPr>
        <w:t xml:space="preserve">Sabiedrības naudas plūsmā naudas līdzekļu atlikums pārskata perioda beigās </w:t>
      </w:r>
      <w:r w:rsidR="003C24D1" w:rsidRPr="00267BEC">
        <w:rPr>
          <w:rFonts w:cstheme="minorHAnsi"/>
        </w:rPr>
        <w:t>samazinājies</w:t>
      </w:r>
      <w:r w:rsidRPr="00267BEC">
        <w:rPr>
          <w:rFonts w:cstheme="minorHAnsi"/>
        </w:rPr>
        <w:t xml:space="preserve"> par </w:t>
      </w:r>
      <w:r w:rsidR="00C50E25">
        <w:rPr>
          <w:rFonts w:cstheme="minorHAnsi"/>
        </w:rPr>
        <w:t>486 593</w:t>
      </w:r>
      <w:r w:rsidR="002E41B5" w:rsidRPr="00267BEC">
        <w:rPr>
          <w:rFonts w:cstheme="minorHAnsi"/>
        </w:rPr>
        <w:t xml:space="preserve"> </w:t>
      </w:r>
      <w:r w:rsidRPr="00267BEC">
        <w:rPr>
          <w:rFonts w:cstheme="minorHAnsi"/>
        </w:rPr>
        <w:t xml:space="preserve">euro , salīdzinot ar </w:t>
      </w:r>
      <w:r w:rsidR="00AB5B66" w:rsidRPr="00267BEC">
        <w:rPr>
          <w:rFonts w:cstheme="minorHAnsi"/>
        </w:rPr>
        <w:t>202</w:t>
      </w:r>
      <w:r w:rsidR="00C50E25">
        <w:rPr>
          <w:rFonts w:cstheme="minorHAnsi"/>
        </w:rPr>
        <w:t>3</w:t>
      </w:r>
      <w:r w:rsidR="00AB5B66" w:rsidRPr="00267BEC">
        <w:rPr>
          <w:rFonts w:cstheme="minorHAnsi"/>
        </w:rPr>
        <w:t>.gada</w:t>
      </w:r>
      <w:r w:rsidRPr="00267BEC">
        <w:rPr>
          <w:rFonts w:cstheme="minorHAnsi"/>
        </w:rPr>
        <w:t xml:space="preserve"> sākumu, bet pret plānu novirze par </w:t>
      </w:r>
      <w:r w:rsidR="00C50E25">
        <w:rPr>
          <w:rFonts w:cstheme="minorHAnsi"/>
        </w:rPr>
        <w:t>95 577</w:t>
      </w:r>
      <w:r w:rsidRPr="00267BEC">
        <w:rPr>
          <w:rFonts w:cstheme="minorHAnsi"/>
        </w:rPr>
        <w:t xml:space="preserve"> euro (plānots </w:t>
      </w:r>
      <w:r w:rsidR="00C50E25">
        <w:rPr>
          <w:rFonts w:cstheme="minorHAnsi"/>
        </w:rPr>
        <w:t>1 917 192</w:t>
      </w:r>
      <w:r w:rsidR="00B23D81" w:rsidRPr="00267BEC">
        <w:rPr>
          <w:rFonts w:cstheme="minorHAnsi"/>
        </w:rPr>
        <w:t xml:space="preserve"> </w:t>
      </w:r>
      <w:r w:rsidRPr="00267BEC">
        <w:rPr>
          <w:rFonts w:cstheme="minorHAnsi"/>
        </w:rPr>
        <w:t>euro)</w:t>
      </w:r>
      <w:r w:rsidR="002E41B5" w:rsidRPr="00267BEC">
        <w:rPr>
          <w:rFonts w:cstheme="minorHAnsi"/>
        </w:rPr>
        <w:t>.</w:t>
      </w:r>
      <w:r w:rsidR="00520EE7" w:rsidRPr="00267BEC">
        <w:rPr>
          <w:rFonts w:cstheme="minorHAnsi"/>
        </w:rPr>
        <w:t xml:space="preserve"> Salīdzinot ar 202</w:t>
      </w:r>
      <w:r w:rsidR="00234DCD">
        <w:rPr>
          <w:rFonts w:cstheme="minorHAnsi"/>
        </w:rPr>
        <w:t>2</w:t>
      </w:r>
      <w:r w:rsidR="00520EE7" w:rsidRPr="00267BEC">
        <w:rPr>
          <w:rFonts w:cstheme="minorHAnsi"/>
        </w:rPr>
        <w:t xml:space="preserve">.gada pārskata periodu </w:t>
      </w:r>
      <w:r w:rsidR="007F5165" w:rsidRPr="00267BEC">
        <w:rPr>
          <w:rFonts w:cstheme="minorHAnsi"/>
        </w:rPr>
        <w:t>samazinājušies</w:t>
      </w:r>
      <w:r w:rsidR="00520EE7" w:rsidRPr="00267BEC">
        <w:rPr>
          <w:rFonts w:cstheme="minorHAnsi"/>
        </w:rPr>
        <w:t xml:space="preserve"> debitoru parādi (</w:t>
      </w:r>
      <w:r w:rsidR="00C15E5E" w:rsidRPr="00267BEC">
        <w:rPr>
          <w:rFonts w:cstheme="minorHAnsi"/>
        </w:rPr>
        <w:t>-</w:t>
      </w:r>
      <w:r w:rsidR="00234DCD">
        <w:rPr>
          <w:rFonts w:cstheme="minorHAnsi"/>
        </w:rPr>
        <w:t>307 820</w:t>
      </w:r>
      <w:r w:rsidR="002E5B69" w:rsidRPr="00267BEC">
        <w:rPr>
          <w:rFonts w:cstheme="minorHAnsi"/>
        </w:rPr>
        <w:t xml:space="preserve"> </w:t>
      </w:r>
      <w:r w:rsidR="00520EE7" w:rsidRPr="00267BEC">
        <w:rPr>
          <w:rFonts w:cstheme="minorHAnsi"/>
        </w:rPr>
        <w:t xml:space="preserve">euro), ko pamatā veido </w:t>
      </w:r>
      <w:r w:rsidR="001E4B44">
        <w:rPr>
          <w:rFonts w:cstheme="minorHAnsi"/>
        </w:rPr>
        <w:t xml:space="preserve">2022.gada </w:t>
      </w:r>
      <w:r w:rsidR="00520EE7" w:rsidRPr="00267BEC">
        <w:rPr>
          <w:rFonts w:cstheme="minorHAnsi"/>
        </w:rPr>
        <w:t>norēķini ar NVD par sniegtajiem veselības aprūpes pakalpojumiem un aprēķinātie kompensācijas maksājumi.</w:t>
      </w:r>
    </w:p>
    <w:p w14:paraId="6AFA8B50" w14:textId="21F50EDD" w:rsidR="005F5952" w:rsidRPr="003D07A2" w:rsidRDefault="005F5952" w:rsidP="00FA2AE6">
      <w:pPr>
        <w:spacing w:before="100" w:beforeAutospacing="1" w:after="100" w:afterAutospacing="1"/>
        <w:jc w:val="both"/>
        <w:rPr>
          <w:rFonts w:cstheme="minorHAnsi"/>
        </w:rPr>
      </w:pPr>
      <w:r w:rsidRPr="00267BEC">
        <w:rPr>
          <w:rFonts w:cstheme="minorHAnsi"/>
        </w:rPr>
        <w:t>Plānot</w:t>
      </w:r>
      <w:r w:rsidR="00C35EA7" w:rsidRPr="00267BEC">
        <w:rPr>
          <w:rFonts w:cstheme="minorHAnsi"/>
        </w:rPr>
        <w:t>ais</w:t>
      </w:r>
      <w:r w:rsidRPr="00267BEC">
        <w:rPr>
          <w:rFonts w:cstheme="minorHAnsi"/>
        </w:rPr>
        <w:t xml:space="preserve"> kopēj</w:t>
      </w:r>
      <w:r w:rsidR="00C35EA7" w:rsidRPr="00267BEC">
        <w:rPr>
          <w:rFonts w:cstheme="minorHAnsi"/>
        </w:rPr>
        <w:t xml:space="preserve">ais </w:t>
      </w:r>
      <w:r w:rsidRPr="00267BEC">
        <w:rPr>
          <w:rFonts w:cstheme="minorHAnsi"/>
        </w:rPr>
        <w:t>likviditāte</w:t>
      </w:r>
      <w:r w:rsidR="00C35EA7" w:rsidRPr="00267BEC">
        <w:rPr>
          <w:rFonts w:cstheme="minorHAnsi"/>
        </w:rPr>
        <w:t>s rādītājs</w:t>
      </w:r>
      <w:r w:rsidRPr="00267BEC">
        <w:rPr>
          <w:rFonts w:cstheme="minorHAnsi"/>
        </w:rPr>
        <w:t xml:space="preserve"> pārskata periodā ir</w:t>
      </w:r>
      <w:r w:rsidR="00C06C05" w:rsidRPr="00267BEC">
        <w:rPr>
          <w:rFonts w:cstheme="minorHAnsi"/>
        </w:rPr>
        <w:t xml:space="preserve"> </w:t>
      </w:r>
      <w:r w:rsidR="00520EE7" w:rsidRPr="00267BEC">
        <w:rPr>
          <w:rFonts w:cstheme="minorHAnsi"/>
        </w:rPr>
        <w:t>1.</w:t>
      </w:r>
      <w:r w:rsidR="00A97D46">
        <w:rPr>
          <w:rFonts w:cstheme="minorHAnsi"/>
        </w:rPr>
        <w:t>69</w:t>
      </w:r>
      <w:r w:rsidRPr="00267BEC">
        <w:rPr>
          <w:rFonts w:cstheme="minorHAnsi"/>
        </w:rPr>
        <w:t xml:space="preserve">, </w:t>
      </w:r>
      <w:r w:rsidR="00A97D46">
        <w:rPr>
          <w:rFonts w:cstheme="minorHAnsi"/>
        </w:rPr>
        <w:t xml:space="preserve">2022.gadā -1.66; </w:t>
      </w:r>
      <w:r w:rsidR="00C35EA7" w:rsidRPr="00267BEC">
        <w:rPr>
          <w:rFonts w:cstheme="minorHAnsi"/>
        </w:rPr>
        <w:t>20</w:t>
      </w:r>
      <w:r w:rsidR="00520EE7" w:rsidRPr="00267BEC">
        <w:rPr>
          <w:rFonts w:cstheme="minorHAnsi"/>
        </w:rPr>
        <w:t>2</w:t>
      </w:r>
      <w:r w:rsidR="002E5B69" w:rsidRPr="00267BEC">
        <w:rPr>
          <w:rFonts w:cstheme="minorHAnsi"/>
        </w:rPr>
        <w:t>1</w:t>
      </w:r>
      <w:r w:rsidR="00C35EA7" w:rsidRPr="00267BEC">
        <w:rPr>
          <w:rFonts w:cstheme="minorHAnsi"/>
        </w:rPr>
        <w:t>.gad</w:t>
      </w:r>
      <w:r w:rsidR="00A1190D" w:rsidRPr="00267BEC">
        <w:rPr>
          <w:rFonts w:cstheme="minorHAnsi"/>
        </w:rPr>
        <w:t>ā</w:t>
      </w:r>
      <w:r w:rsidR="00C35EA7" w:rsidRPr="00267BEC">
        <w:rPr>
          <w:rFonts w:cstheme="minorHAnsi"/>
        </w:rPr>
        <w:t xml:space="preserve"> – 1.</w:t>
      </w:r>
      <w:r w:rsidR="002E5B69" w:rsidRPr="00267BEC">
        <w:rPr>
          <w:rFonts w:cstheme="minorHAnsi"/>
        </w:rPr>
        <w:t>44</w:t>
      </w:r>
      <w:r w:rsidR="00C35EA7" w:rsidRPr="00267BEC">
        <w:rPr>
          <w:rFonts w:cstheme="minorHAnsi"/>
        </w:rPr>
        <w:t xml:space="preserve">, pārskata periodā </w:t>
      </w:r>
      <w:r w:rsidRPr="00267BEC">
        <w:rPr>
          <w:rFonts w:cstheme="minorHAnsi"/>
        </w:rPr>
        <w:t xml:space="preserve">faktiski </w:t>
      </w:r>
      <w:r w:rsidR="00C35EA7" w:rsidRPr="00267BEC">
        <w:rPr>
          <w:rFonts w:cstheme="minorHAnsi"/>
        </w:rPr>
        <w:t>–</w:t>
      </w:r>
      <w:r w:rsidRPr="00267BEC">
        <w:rPr>
          <w:rFonts w:cstheme="minorHAnsi"/>
        </w:rPr>
        <w:t xml:space="preserve"> </w:t>
      </w:r>
      <w:r w:rsidR="00A1190D" w:rsidRPr="00267BEC">
        <w:rPr>
          <w:rFonts w:cstheme="minorHAnsi"/>
        </w:rPr>
        <w:t>1.</w:t>
      </w:r>
      <w:r w:rsidR="00D4740C">
        <w:rPr>
          <w:rFonts w:cstheme="minorHAnsi"/>
        </w:rPr>
        <w:t>88</w:t>
      </w:r>
      <w:r w:rsidR="00C35EA7" w:rsidRPr="00267BEC">
        <w:rPr>
          <w:rFonts w:cstheme="minorHAnsi"/>
        </w:rPr>
        <w:t xml:space="preserve">. Likviditāti ietekmē īstermiņa kreditoru </w:t>
      </w:r>
      <w:r w:rsidR="00267BEC" w:rsidRPr="00267BEC">
        <w:rPr>
          <w:rFonts w:cstheme="minorHAnsi"/>
        </w:rPr>
        <w:t>samazinājums</w:t>
      </w:r>
      <w:r w:rsidR="00C35EA7" w:rsidRPr="00267BEC">
        <w:rPr>
          <w:rFonts w:cstheme="minorHAnsi"/>
        </w:rPr>
        <w:t xml:space="preserve"> </w:t>
      </w:r>
      <w:r w:rsidR="005531FB">
        <w:rPr>
          <w:rFonts w:cstheme="minorHAnsi"/>
        </w:rPr>
        <w:t>.</w:t>
      </w:r>
    </w:p>
    <w:p w14:paraId="675CC5CD" w14:textId="77777777" w:rsidR="00D21AA3" w:rsidRDefault="00D21AA3" w:rsidP="008D79D0">
      <w:pPr>
        <w:spacing w:after="0"/>
        <w:rPr>
          <w:rFonts w:cstheme="minorHAnsi"/>
          <w:b/>
          <w:bCs/>
        </w:rPr>
      </w:pPr>
    </w:p>
    <w:p w14:paraId="3FB3132D" w14:textId="79985FCA" w:rsidR="008D79D0" w:rsidRPr="003D07A2" w:rsidRDefault="008D79D0" w:rsidP="008D79D0">
      <w:pPr>
        <w:spacing w:after="0"/>
        <w:rPr>
          <w:rFonts w:cstheme="minorHAnsi"/>
          <w:b/>
          <w:bCs/>
        </w:rPr>
      </w:pPr>
      <w:r w:rsidRPr="003D07A2">
        <w:rPr>
          <w:rFonts w:cstheme="minorHAnsi"/>
          <w:b/>
          <w:bCs/>
        </w:rPr>
        <w:t>Ieguldījumi Sabiedrības infrastruktūrā</w:t>
      </w:r>
    </w:p>
    <w:p w14:paraId="44614486" w14:textId="0DE6977A" w:rsidR="00B63C01" w:rsidRPr="003D07A2" w:rsidRDefault="00B63C01" w:rsidP="00FA2AE6">
      <w:pPr>
        <w:spacing w:before="100" w:beforeAutospacing="1" w:after="100" w:afterAutospacing="1"/>
        <w:jc w:val="both"/>
        <w:rPr>
          <w:rFonts w:cstheme="minorHAnsi"/>
        </w:rPr>
      </w:pPr>
      <w:r w:rsidRPr="003D07A2">
        <w:rPr>
          <w:rFonts w:cstheme="minorHAnsi"/>
        </w:rPr>
        <w:t xml:space="preserve">Kopā Sabiedrība pārskata periodā ir veikusi ilgtermiņa ieguldījumus </w:t>
      </w:r>
      <w:r w:rsidR="007C5172">
        <w:rPr>
          <w:rFonts w:cstheme="minorHAnsi"/>
        </w:rPr>
        <w:t>14 029 euro</w:t>
      </w:r>
      <w:r w:rsidR="00531ECF">
        <w:rPr>
          <w:rFonts w:cstheme="minorHAnsi"/>
        </w:rPr>
        <w:t xml:space="preserve"> (2022.gada salīdzināmā periodā </w:t>
      </w:r>
      <w:r w:rsidR="00687F12">
        <w:rPr>
          <w:rFonts w:cstheme="minorHAnsi"/>
        </w:rPr>
        <w:t>48 692</w:t>
      </w:r>
      <w:r w:rsidRPr="003D07A2">
        <w:rPr>
          <w:rFonts w:cstheme="minorHAnsi"/>
        </w:rPr>
        <w:t xml:space="preserve"> euro </w:t>
      </w:r>
      <w:r w:rsidR="00531ECF">
        <w:rPr>
          <w:rFonts w:cstheme="minorHAnsi"/>
        </w:rPr>
        <w:t xml:space="preserve">) </w:t>
      </w:r>
      <w:r w:rsidRPr="003D07A2">
        <w:rPr>
          <w:rFonts w:cstheme="minorHAnsi"/>
        </w:rPr>
        <w:t>apmērā (saskaņā ar naudas plūsmu)</w:t>
      </w:r>
      <w:r w:rsidR="00C14F51">
        <w:rPr>
          <w:rFonts w:cstheme="minorHAnsi"/>
        </w:rPr>
        <w:t xml:space="preserve">, tai skaitā nepabeigtā būvniecība </w:t>
      </w:r>
      <w:r w:rsidR="00177213">
        <w:rPr>
          <w:rFonts w:cstheme="minorHAnsi"/>
        </w:rPr>
        <w:t>1924</w:t>
      </w:r>
      <w:r w:rsidR="00C14F51">
        <w:rPr>
          <w:rFonts w:cstheme="minorHAnsi"/>
        </w:rPr>
        <w:t xml:space="preserve"> euro</w:t>
      </w:r>
      <w:r w:rsidR="00033934">
        <w:rPr>
          <w:rFonts w:cstheme="minorHAnsi"/>
        </w:rPr>
        <w:t xml:space="preserve"> (</w:t>
      </w:r>
      <w:r w:rsidR="007F367C">
        <w:rPr>
          <w:rFonts w:cstheme="minorHAnsi"/>
        </w:rPr>
        <w:t>Būvniecības iecere</w:t>
      </w:r>
      <w:r w:rsidR="00157A00">
        <w:rPr>
          <w:rFonts w:cstheme="minorHAnsi"/>
        </w:rPr>
        <w:t>s dokumentācijas izstrāde objektam “Saules elektrostacijas parkam piegulošās teritorijas infrastruktūras labiekārtošana”</w:t>
      </w:r>
      <w:r w:rsidR="00C2632C">
        <w:rPr>
          <w:rFonts w:cstheme="minorHAnsi"/>
        </w:rPr>
        <w:t>)</w:t>
      </w:r>
      <w:r w:rsidR="00D21AA3">
        <w:rPr>
          <w:rFonts w:cstheme="minorHAnsi"/>
        </w:rPr>
        <w:t>.</w:t>
      </w:r>
    </w:p>
    <w:p w14:paraId="56870886" w14:textId="77777777" w:rsidR="00521F16" w:rsidRDefault="00521F16">
      <w:pPr>
        <w:rPr>
          <w:rFonts w:cstheme="minorHAnsi"/>
          <w:b/>
          <w:bCs/>
        </w:rPr>
      </w:pPr>
      <w:r>
        <w:rPr>
          <w:rFonts w:cstheme="minorHAnsi"/>
          <w:b/>
          <w:bCs/>
        </w:rPr>
        <w:br w:type="page"/>
      </w:r>
    </w:p>
    <w:p w14:paraId="142603B1" w14:textId="3783CE1D" w:rsidR="007B12D7" w:rsidRPr="003D07A2" w:rsidRDefault="00B63C01" w:rsidP="00FA2AE6">
      <w:pPr>
        <w:spacing w:before="100" w:beforeAutospacing="1" w:after="100" w:afterAutospacing="1"/>
        <w:jc w:val="center"/>
        <w:rPr>
          <w:rFonts w:cstheme="minorHAnsi"/>
        </w:rPr>
      </w:pPr>
      <w:r w:rsidRPr="003D07A2">
        <w:rPr>
          <w:rFonts w:cstheme="minorHAnsi"/>
          <w:b/>
          <w:bCs/>
        </w:rPr>
        <w:lastRenderedPageBreak/>
        <w:t>Ieguldījumi</w:t>
      </w:r>
      <w:r w:rsidRPr="003D07A2">
        <w:rPr>
          <w:rFonts w:cstheme="minorHAnsi"/>
        </w:rPr>
        <w:t>, euro</w:t>
      </w:r>
    </w:p>
    <w:tbl>
      <w:tblPr>
        <w:tblStyle w:val="Reatabula"/>
        <w:tblW w:w="8296" w:type="dxa"/>
        <w:tblLayout w:type="fixed"/>
        <w:tblLook w:val="04A0" w:firstRow="1" w:lastRow="0" w:firstColumn="1" w:lastColumn="0" w:noHBand="0" w:noVBand="1"/>
      </w:tblPr>
      <w:tblGrid>
        <w:gridCol w:w="2689"/>
        <w:gridCol w:w="1134"/>
        <w:gridCol w:w="992"/>
        <w:gridCol w:w="1134"/>
        <w:gridCol w:w="1338"/>
        <w:gridCol w:w="1009"/>
      </w:tblGrid>
      <w:tr w:rsidR="00CC4E71" w:rsidRPr="003D07A2" w14:paraId="3AE4DF3B" w14:textId="77777777" w:rsidTr="00CC4E71">
        <w:trPr>
          <w:trHeight w:val="877"/>
        </w:trPr>
        <w:tc>
          <w:tcPr>
            <w:tcW w:w="2689" w:type="dxa"/>
            <w:vAlign w:val="center"/>
          </w:tcPr>
          <w:p w14:paraId="11685281" w14:textId="77777777" w:rsidR="00CC4E71" w:rsidRPr="003D07A2" w:rsidRDefault="00CC4E71" w:rsidP="00CC4E71">
            <w:pPr>
              <w:jc w:val="center"/>
              <w:rPr>
                <w:rFonts w:cstheme="minorHAnsi"/>
              </w:rPr>
            </w:pPr>
            <w:r w:rsidRPr="003D07A2">
              <w:rPr>
                <w:rFonts w:cstheme="minorHAnsi"/>
              </w:rPr>
              <w:t>Ieguldījumu pozīcija</w:t>
            </w:r>
          </w:p>
        </w:tc>
        <w:tc>
          <w:tcPr>
            <w:tcW w:w="1134" w:type="dxa"/>
            <w:vAlign w:val="center"/>
          </w:tcPr>
          <w:p w14:paraId="32F58F0B" w14:textId="31E4ACC0" w:rsidR="00CC4E71" w:rsidRPr="003D07A2" w:rsidRDefault="00CC4E71" w:rsidP="00CC4E71">
            <w:pPr>
              <w:jc w:val="center"/>
              <w:rPr>
                <w:rFonts w:cstheme="minorHAnsi"/>
              </w:rPr>
            </w:pPr>
            <w:r w:rsidRPr="003D07A2">
              <w:rPr>
                <w:rFonts w:cstheme="minorHAnsi"/>
              </w:rPr>
              <w:t>202</w:t>
            </w:r>
            <w:r>
              <w:rPr>
                <w:rFonts w:cstheme="minorHAnsi"/>
              </w:rPr>
              <w:t>2</w:t>
            </w:r>
            <w:r w:rsidRPr="003D07A2">
              <w:rPr>
                <w:rFonts w:cstheme="minorHAnsi"/>
              </w:rPr>
              <w:t>.g. fakts</w:t>
            </w:r>
          </w:p>
        </w:tc>
        <w:tc>
          <w:tcPr>
            <w:tcW w:w="992" w:type="dxa"/>
            <w:vAlign w:val="center"/>
          </w:tcPr>
          <w:p w14:paraId="142B679C" w14:textId="46C7AAA7" w:rsidR="00CC4E71" w:rsidRPr="003D07A2" w:rsidRDefault="00CC4E71" w:rsidP="00CC4E71">
            <w:pPr>
              <w:jc w:val="center"/>
              <w:rPr>
                <w:rFonts w:cstheme="minorHAnsi"/>
              </w:rPr>
            </w:pPr>
            <w:r w:rsidRPr="003D07A2">
              <w:rPr>
                <w:rFonts w:cstheme="minorHAnsi"/>
              </w:rPr>
              <w:t>202</w:t>
            </w:r>
            <w:r>
              <w:rPr>
                <w:rFonts w:cstheme="minorHAnsi"/>
              </w:rPr>
              <w:t>3</w:t>
            </w:r>
            <w:r w:rsidRPr="003D07A2">
              <w:rPr>
                <w:rFonts w:cstheme="minorHAnsi"/>
              </w:rPr>
              <w:t>.g. plāns</w:t>
            </w:r>
          </w:p>
        </w:tc>
        <w:tc>
          <w:tcPr>
            <w:tcW w:w="1134" w:type="dxa"/>
            <w:vAlign w:val="center"/>
          </w:tcPr>
          <w:p w14:paraId="60327C26" w14:textId="66A8BB12" w:rsidR="00CC4E71" w:rsidRPr="003D07A2" w:rsidRDefault="00CC4E71" w:rsidP="00CC4E71">
            <w:pPr>
              <w:jc w:val="center"/>
              <w:rPr>
                <w:rFonts w:cstheme="minorHAnsi"/>
              </w:rPr>
            </w:pPr>
            <w:r w:rsidRPr="003D07A2">
              <w:rPr>
                <w:rFonts w:cstheme="minorHAnsi"/>
              </w:rPr>
              <w:t>202</w:t>
            </w:r>
            <w:r>
              <w:rPr>
                <w:rFonts w:cstheme="minorHAnsi"/>
              </w:rPr>
              <w:t>3</w:t>
            </w:r>
            <w:r w:rsidRPr="003D07A2">
              <w:rPr>
                <w:rFonts w:cstheme="minorHAnsi"/>
              </w:rPr>
              <w:t>.g. fakts</w:t>
            </w:r>
          </w:p>
        </w:tc>
        <w:tc>
          <w:tcPr>
            <w:tcW w:w="1338" w:type="dxa"/>
            <w:vAlign w:val="center"/>
          </w:tcPr>
          <w:p w14:paraId="0BD1ABA7" w14:textId="7462D83F" w:rsidR="00CC4E71" w:rsidRPr="003D07A2" w:rsidRDefault="00CC4E71" w:rsidP="00CC4E71">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009" w:type="dxa"/>
            <w:vAlign w:val="center"/>
          </w:tcPr>
          <w:p w14:paraId="05B2E416" w14:textId="77777777" w:rsidR="00CC4E71" w:rsidRPr="003D07A2" w:rsidRDefault="00CC4E71" w:rsidP="00CC4E71">
            <w:pPr>
              <w:jc w:val="center"/>
              <w:rPr>
                <w:rFonts w:cstheme="minorHAnsi"/>
              </w:rPr>
            </w:pPr>
            <w:r w:rsidRPr="003D07A2">
              <w:rPr>
                <w:rFonts w:cstheme="minorHAnsi"/>
              </w:rPr>
              <w:t>Novirze pret plānu</w:t>
            </w:r>
          </w:p>
        </w:tc>
      </w:tr>
      <w:tr w:rsidR="00CC4E71" w:rsidRPr="003D07A2" w14:paraId="18DE76F8" w14:textId="77777777" w:rsidTr="00CC4E71">
        <w:tc>
          <w:tcPr>
            <w:tcW w:w="2689" w:type="dxa"/>
          </w:tcPr>
          <w:p w14:paraId="7954BFF5" w14:textId="77777777" w:rsidR="00CC4E71" w:rsidRPr="003D07A2" w:rsidRDefault="00CC4E71" w:rsidP="00CC4E71">
            <w:pPr>
              <w:rPr>
                <w:rFonts w:cstheme="minorHAnsi"/>
              </w:rPr>
            </w:pPr>
            <w:r w:rsidRPr="003D07A2">
              <w:rPr>
                <w:rFonts w:cstheme="minorHAnsi"/>
              </w:rPr>
              <w:t>Nemateriālie ieguldījumi (licences)</w:t>
            </w:r>
          </w:p>
        </w:tc>
        <w:tc>
          <w:tcPr>
            <w:tcW w:w="1134" w:type="dxa"/>
            <w:vAlign w:val="center"/>
          </w:tcPr>
          <w:p w14:paraId="795C9B37" w14:textId="2CC41C0A" w:rsidR="00CC4E71" w:rsidRDefault="00CC4E71" w:rsidP="00CC4E71">
            <w:pPr>
              <w:jc w:val="center"/>
              <w:rPr>
                <w:rFonts w:cstheme="minorHAnsi"/>
              </w:rPr>
            </w:pPr>
            <w:r>
              <w:rPr>
                <w:rFonts w:cstheme="minorHAnsi"/>
              </w:rPr>
              <w:t>270</w:t>
            </w:r>
          </w:p>
        </w:tc>
        <w:tc>
          <w:tcPr>
            <w:tcW w:w="992" w:type="dxa"/>
            <w:vAlign w:val="center"/>
          </w:tcPr>
          <w:p w14:paraId="33904CEE" w14:textId="2C703B9E" w:rsidR="00CC4E71" w:rsidRPr="003D07A2" w:rsidRDefault="00CD578B" w:rsidP="00CC4E71">
            <w:pPr>
              <w:jc w:val="center"/>
              <w:rPr>
                <w:rFonts w:cstheme="minorHAnsi"/>
              </w:rPr>
            </w:pPr>
            <w:r>
              <w:rPr>
                <w:rFonts w:cstheme="minorHAnsi"/>
              </w:rPr>
              <w:t>581</w:t>
            </w:r>
          </w:p>
        </w:tc>
        <w:tc>
          <w:tcPr>
            <w:tcW w:w="1134" w:type="dxa"/>
            <w:vAlign w:val="center"/>
          </w:tcPr>
          <w:p w14:paraId="41E41057" w14:textId="3182A036" w:rsidR="00CC4E71" w:rsidRPr="003D07A2" w:rsidRDefault="00CD578B" w:rsidP="00CC4E71">
            <w:pPr>
              <w:jc w:val="center"/>
              <w:rPr>
                <w:rFonts w:cstheme="minorHAnsi"/>
              </w:rPr>
            </w:pPr>
            <w:r>
              <w:rPr>
                <w:rFonts w:cstheme="minorHAnsi"/>
              </w:rPr>
              <w:t>480</w:t>
            </w:r>
          </w:p>
        </w:tc>
        <w:tc>
          <w:tcPr>
            <w:tcW w:w="1338" w:type="dxa"/>
            <w:vAlign w:val="center"/>
          </w:tcPr>
          <w:p w14:paraId="57A7A79E" w14:textId="18F0ABED" w:rsidR="00CC4E71" w:rsidRPr="003D07A2" w:rsidRDefault="00CD578B" w:rsidP="00CC4E71">
            <w:pPr>
              <w:jc w:val="center"/>
              <w:rPr>
                <w:rFonts w:cstheme="minorHAnsi"/>
              </w:rPr>
            </w:pPr>
            <w:r>
              <w:rPr>
                <w:rFonts w:cstheme="minorHAnsi"/>
              </w:rPr>
              <w:t>+210</w:t>
            </w:r>
          </w:p>
        </w:tc>
        <w:tc>
          <w:tcPr>
            <w:tcW w:w="1009" w:type="dxa"/>
            <w:vAlign w:val="center"/>
          </w:tcPr>
          <w:p w14:paraId="55D649EA" w14:textId="33D8338D" w:rsidR="00CC4E71" w:rsidRPr="003D07A2" w:rsidRDefault="00CD578B" w:rsidP="00CC4E71">
            <w:pPr>
              <w:jc w:val="center"/>
              <w:rPr>
                <w:rFonts w:cstheme="minorHAnsi"/>
              </w:rPr>
            </w:pPr>
            <w:r>
              <w:rPr>
                <w:rFonts w:cstheme="minorHAnsi"/>
              </w:rPr>
              <w:t>-101</w:t>
            </w:r>
          </w:p>
        </w:tc>
      </w:tr>
      <w:tr w:rsidR="00CC4E71" w:rsidRPr="003D07A2" w14:paraId="11047CE8" w14:textId="77777777" w:rsidTr="00CC4E71">
        <w:tc>
          <w:tcPr>
            <w:tcW w:w="2689" w:type="dxa"/>
          </w:tcPr>
          <w:p w14:paraId="2986BD38" w14:textId="77777777" w:rsidR="00CC4E71" w:rsidRPr="003D07A2" w:rsidRDefault="00CC4E71" w:rsidP="00CC4E71">
            <w:pPr>
              <w:rPr>
                <w:rFonts w:cstheme="minorHAnsi"/>
              </w:rPr>
            </w:pPr>
            <w:r w:rsidRPr="003D07A2">
              <w:rPr>
                <w:rFonts w:cstheme="minorHAnsi"/>
              </w:rPr>
              <w:t>Nekustamais īpašums</w:t>
            </w:r>
          </w:p>
        </w:tc>
        <w:tc>
          <w:tcPr>
            <w:tcW w:w="1134" w:type="dxa"/>
            <w:vAlign w:val="center"/>
          </w:tcPr>
          <w:p w14:paraId="5638041C" w14:textId="7A7480C0" w:rsidR="00CC4E71" w:rsidRDefault="00CC4E71" w:rsidP="00CC4E71">
            <w:pPr>
              <w:jc w:val="center"/>
              <w:rPr>
                <w:rFonts w:cstheme="minorHAnsi"/>
              </w:rPr>
            </w:pPr>
            <w:r>
              <w:rPr>
                <w:rFonts w:cstheme="minorHAnsi"/>
              </w:rPr>
              <w:t>15 565</w:t>
            </w:r>
          </w:p>
        </w:tc>
        <w:tc>
          <w:tcPr>
            <w:tcW w:w="992" w:type="dxa"/>
            <w:vAlign w:val="center"/>
          </w:tcPr>
          <w:p w14:paraId="2F13B61A" w14:textId="6400523A" w:rsidR="00CC4E71" w:rsidRPr="003D07A2" w:rsidRDefault="00CD578B" w:rsidP="00CC4E71">
            <w:pPr>
              <w:jc w:val="center"/>
              <w:rPr>
                <w:rFonts w:cstheme="minorHAnsi"/>
              </w:rPr>
            </w:pPr>
            <w:r>
              <w:rPr>
                <w:rFonts w:cstheme="minorHAnsi"/>
              </w:rPr>
              <w:t>0</w:t>
            </w:r>
          </w:p>
        </w:tc>
        <w:tc>
          <w:tcPr>
            <w:tcW w:w="1134" w:type="dxa"/>
            <w:vAlign w:val="center"/>
          </w:tcPr>
          <w:p w14:paraId="223DD9EA" w14:textId="4AE2362E" w:rsidR="00CC4E71" w:rsidRPr="003D07A2" w:rsidRDefault="00CD578B" w:rsidP="00CC4E71">
            <w:pPr>
              <w:jc w:val="center"/>
              <w:rPr>
                <w:rFonts w:cstheme="minorHAnsi"/>
              </w:rPr>
            </w:pPr>
            <w:r>
              <w:rPr>
                <w:rFonts w:cstheme="minorHAnsi"/>
              </w:rPr>
              <w:t>1924</w:t>
            </w:r>
          </w:p>
        </w:tc>
        <w:tc>
          <w:tcPr>
            <w:tcW w:w="1338" w:type="dxa"/>
            <w:vAlign w:val="center"/>
          </w:tcPr>
          <w:p w14:paraId="39DDB103" w14:textId="49AF0F5F" w:rsidR="00CC4E71" w:rsidRPr="003D07A2" w:rsidRDefault="00A47271" w:rsidP="00CC4E71">
            <w:pPr>
              <w:jc w:val="center"/>
              <w:rPr>
                <w:rFonts w:cstheme="minorHAnsi"/>
              </w:rPr>
            </w:pPr>
            <w:r>
              <w:rPr>
                <w:rFonts w:cstheme="minorHAnsi"/>
              </w:rPr>
              <w:t>-13 641</w:t>
            </w:r>
          </w:p>
        </w:tc>
        <w:tc>
          <w:tcPr>
            <w:tcW w:w="1009" w:type="dxa"/>
            <w:vAlign w:val="center"/>
          </w:tcPr>
          <w:p w14:paraId="08DC931D" w14:textId="728C2EE7" w:rsidR="00CC4E71" w:rsidRPr="003D07A2" w:rsidRDefault="00CD578B" w:rsidP="00CC4E71">
            <w:pPr>
              <w:jc w:val="center"/>
              <w:rPr>
                <w:rFonts w:cstheme="minorHAnsi"/>
              </w:rPr>
            </w:pPr>
            <w:r>
              <w:rPr>
                <w:rFonts w:cstheme="minorHAnsi"/>
              </w:rPr>
              <w:t>+1924</w:t>
            </w:r>
          </w:p>
        </w:tc>
      </w:tr>
      <w:tr w:rsidR="00CC4E71" w:rsidRPr="003D07A2" w14:paraId="56018ADF" w14:textId="77777777" w:rsidTr="00CC4E71">
        <w:tc>
          <w:tcPr>
            <w:tcW w:w="2689" w:type="dxa"/>
          </w:tcPr>
          <w:p w14:paraId="74387AB0" w14:textId="77777777" w:rsidR="00CC4E71" w:rsidRPr="003D07A2" w:rsidRDefault="00CC4E71" w:rsidP="00CC4E71">
            <w:pPr>
              <w:rPr>
                <w:rFonts w:cstheme="minorHAnsi"/>
              </w:rPr>
            </w:pPr>
            <w:r w:rsidRPr="003D07A2">
              <w:rPr>
                <w:rFonts w:cstheme="minorHAnsi"/>
              </w:rPr>
              <w:t>Tehnoloģiskās iekārtas</w:t>
            </w:r>
          </w:p>
        </w:tc>
        <w:tc>
          <w:tcPr>
            <w:tcW w:w="1134" w:type="dxa"/>
            <w:vAlign w:val="center"/>
          </w:tcPr>
          <w:p w14:paraId="11AAC2A2" w14:textId="627C2CC6" w:rsidR="00CC4E71" w:rsidRDefault="00CC4E71" w:rsidP="00CC4E71">
            <w:pPr>
              <w:jc w:val="center"/>
              <w:rPr>
                <w:rFonts w:cstheme="minorHAnsi"/>
              </w:rPr>
            </w:pPr>
            <w:r>
              <w:rPr>
                <w:rFonts w:cstheme="minorHAnsi"/>
              </w:rPr>
              <w:t>14 860</w:t>
            </w:r>
          </w:p>
        </w:tc>
        <w:tc>
          <w:tcPr>
            <w:tcW w:w="992" w:type="dxa"/>
            <w:vAlign w:val="center"/>
          </w:tcPr>
          <w:p w14:paraId="47F02D80" w14:textId="5BED88AD" w:rsidR="00CC4E71" w:rsidRPr="003D07A2" w:rsidRDefault="00A47271" w:rsidP="00CC4E71">
            <w:pPr>
              <w:jc w:val="center"/>
              <w:rPr>
                <w:rFonts w:cstheme="minorHAnsi"/>
              </w:rPr>
            </w:pPr>
            <w:r>
              <w:rPr>
                <w:rFonts w:cstheme="minorHAnsi"/>
              </w:rPr>
              <w:t>0</w:t>
            </w:r>
          </w:p>
        </w:tc>
        <w:tc>
          <w:tcPr>
            <w:tcW w:w="1134" w:type="dxa"/>
            <w:vAlign w:val="center"/>
          </w:tcPr>
          <w:p w14:paraId="640E55B9" w14:textId="42A13488" w:rsidR="00CC4E71" w:rsidRPr="003D07A2" w:rsidRDefault="00A47271" w:rsidP="00CC4E71">
            <w:pPr>
              <w:jc w:val="center"/>
              <w:rPr>
                <w:rFonts w:cstheme="minorHAnsi"/>
              </w:rPr>
            </w:pPr>
            <w:r>
              <w:rPr>
                <w:rFonts w:cstheme="minorHAnsi"/>
              </w:rPr>
              <w:t>0</w:t>
            </w:r>
          </w:p>
        </w:tc>
        <w:tc>
          <w:tcPr>
            <w:tcW w:w="1338" w:type="dxa"/>
            <w:vAlign w:val="center"/>
          </w:tcPr>
          <w:p w14:paraId="14FB8C53" w14:textId="4C4BA558" w:rsidR="00CC4E71" w:rsidRPr="003D07A2" w:rsidRDefault="00A47271" w:rsidP="00CC4E71">
            <w:pPr>
              <w:jc w:val="center"/>
              <w:rPr>
                <w:rFonts w:cstheme="minorHAnsi"/>
              </w:rPr>
            </w:pPr>
            <w:r>
              <w:rPr>
                <w:rFonts w:cstheme="minorHAnsi"/>
              </w:rPr>
              <w:t>-14 860</w:t>
            </w:r>
          </w:p>
        </w:tc>
        <w:tc>
          <w:tcPr>
            <w:tcW w:w="1009" w:type="dxa"/>
            <w:vAlign w:val="center"/>
          </w:tcPr>
          <w:p w14:paraId="11431822" w14:textId="3D691D86" w:rsidR="00CC4E71" w:rsidRPr="003D07A2" w:rsidRDefault="00A47271" w:rsidP="00CC4E71">
            <w:pPr>
              <w:jc w:val="center"/>
              <w:rPr>
                <w:rFonts w:cstheme="minorHAnsi"/>
              </w:rPr>
            </w:pPr>
            <w:r>
              <w:rPr>
                <w:rFonts w:cstheme="minorHAnsi"/>
              </w:rPr>
              <w:t>0</w:t>
            </w:r>
          </w:p>
        </w:tc>
      </w:tr>
      <w:tr w:rsidR="00CC4E71" w:rsidRPr="003D07A2" w14:paraId="55D1C51F" w14:textId="77777777" w:rsidTr="00CC4E71">
        <w:tc>
          <w:tcPr>
            <w:tcW w:w="2689" w:type="dxa"/>
          </w:tcPr>
          <w:p w14:paraId="14396189" w14:textId="048348EA" w:rsidR="00CC4E71" w:rsidRPr="003D07A2" w:rsidRDefault="00366F1F" w:rsidP="00CC4E71">
            <w:pPr>
              <w:rPr>
                <w:rFonts w:cstheme="minorHAnsi"/>
              </w:rPr>
            </w:pPr>
            <w:r>
              <w:rPr>
                <w:rFonts w:cstheme="minorHAnsi"/>
              </w:rPr>
              <w:t>Pārējie</w:t>
            </w:r>
            <w:r w:rsidR="00CC4E71" w:rsidRPr="003D07A2">
              <w:rPr>
                <w:rFonts w:cstheme="minorHAnsi"/>
              </w:rPr>
              <w:t xml:space="preserve"> pamatlīdzekļi</w:t>
            </w:r>
          </w:p>
        </w:tc>
        <w:tc>
          <w:tcPr>
            <w:tcW w:w="1134" w:type="dxa"/>
            <w:vAlign w:val="center"/>
          </w:tcPr>
          <w:p w14:paraId="7326D29F" w14:textId="4EF867CA" w:rsidR="00CC4E71" w:rsidRDefault="003F535E" w:rsidP="00CC4E71">
            <w:pPr>
              <w:jc w:val="center"/>
              <w:rPr>
                <w:rFonts w:cstheme="minorHAnsi"/>
              </w:rPr>
            </w:pPr>
            <w:r>
              <w:rPr>
                <w:rFonts w:cstheme="minorHAnsi"/>
              </w:rPr>
              <w:t>10 169</w:t>
            </w:r>
          </w:p>
        </w:tc>
        <w:tc>
          <w:tcPr>
            <w:tcW w:w="992" w:type="dxa"/>
            <w:vAlign w:val="center"/>
          </w:tcPr>
          <w:p w14:paraId="00F3E1CE" w14:textId="69B48CB8" w:rsidR="00CC4E71" w:rsidRPr="003D07A2" w:rsidRDefault="003F535E" w:rsidP="00CC4E71">
            <w:pPr>
              <w:jc w:val="center"/>
              <w:rPr>
                <w:rFonts w:cstheme="minorHAnsi"/>
              </w:rPr>
            </w:pPr>
            <w:r>
              <w:rPr>
                <w:rFonts w:cstheme="minorHAnsi"/>
              </w:rPr>
              <w:t>3 935</w:t>
            </w:r>
          </w:p>
        </w:tc>
        <w:tc>
          <w:tcPr>
            <w:tcW w:w="1134" w:type="dxa"/>
            <w:vAlign w:val="center"/>
          </w:tcPr>
          <w:p w14:paraId="272A4F9D" w14:textId="7906956A" w:rsidR="00CC4E71" w:rsidRPr="003D07A2" w:rsidRDefault="003F535E" w:rsidP="00CC4E71">
            <w:pPr>
              <w:jc w:val="center"/>
              <w:rPr>
                <w:rFonts w:cstheme="minorHAnsi"/>
              </w:rPr>
            </w:pPr>
            <w:r>
              <w:rPr>
                <w:rFonts w:cstheme="minorHAnsi"/>
              </w:rPr>
              <w:t>3 791</w:t>
            </w:r>
          </w:p>
        </w:tc>
        <w:tc>
          <w:tcPr>
            <w:tcW w:w="1338" w:type="dxa"/>
            <w:vAlign w:val="center"/>
          </w:tcPr>
          <w:p w14:paraId="1D3D0138" w14:textId="729B6689" w:rsidR="00CC4E71" w:rsidRPr="003D07A2" w:rsidRDefault="0058426B" w:rsidP="00CC4E71">
            <w:pPr>
              <w:jc w:val="center"/>
              <w:rPr>
                <w:rFonts w:cstheme="minorHAnsi"/>
              </w:rPr>
            </w:pPr>
            <w:r>
              <w:rPr>
                <w:rFonts w:cstheme="minorHAnsi"/>
              </w:rPr>
              <w:t>-6 378</w:t>
            </w:r>
          </w:p>
        </w:tc>
        <w:tc>
          <w:tcPr>
            <w:tcW w:w="1009" w:type="dxa"/>
            <w:vAlign w:val="center"/>
          </w:tcPr>
          <w:p w14:paraId="486495C0" w14:textId="0E834F73" w:rsidR="00CC4E71" w:rsidRPr="003D07A2" w:rsidRDefault="003F535E" w:rsidP="00CC4E71">
            <w:pPr>
              <w:jc w:val="center"/>
              <w:rPr>
                <w:rFonts w:cstheme="minorHAnsi"/>
              </w:rPr>
            </w:pPr>
            <w:r>
              <w:rPr>
                <w:rFonts w:cstheme="minorHAnsi"/>
              </w:rPr>
              <w:t>-144</w:t>
            </w:r>
          </w:p>
        </w:tc>
      </w:tr>
      <w:tr w:rsidR="00CC4E71" w:rsidRPr="003D07A2" w14:paraId="62D0E03A" w14:textId="77777777" w:rsidTr="00CC4E71">
        <w:tc>
          <w:tcPr>
            <w:tcW w:w="2689" w:type="dxa"/>
          </w:tcPr>
          <w:p w14:paraId="6B841AAA" w14:textId="77777777" w:rsidR="00CC4E71" w:rsidRPr="003D07A2" w:rsidRDefault="00CC4E71" w:rsidP="00CC4E71">
            <w:pPr>
              <w:rPr>
                <w:rFonts w:cstheme="minorHAnsi"/>
              </w:rPr>
            </w:pPr>
            <w:r w:rsidRPr="003D07A2">
              <w:rPr>
                <w:rFonts w:cstheme="minorHAnsi"/>
              </w:rPr>
              <w:t>Datortehnika</w:t>
            </w:r>
          </w:p>
        </w:tc>
        <w:tc>
          <w:tcPr>
            <w:tcW w:w="1134" w:type="dxa"/>
            <w:vAlign w:val="center"/>
          </w:tcPr>
          <w:p w14:paraId="68A05F00" w14:textId="21B08210" w:rsidR="00CC4E71" w:rsidRDefault="00CC4E71" w:rsidP="00CC4E71">
            <w:pPr>
              <w:jc w:val="center"/>
              <w:rPr>
                <w:rFonts w:cstheme="minorHAnsi"/>
              </w:rPr>
            </w:pPr>
            <w:r>
              <w:rPr>
                <w:rFonts w:cstheme="minorHAnsi"/>
              </w:rPr>
              <w:t>7828</w:t>
            </w:r>
          </w:p>
        </w:tc>
        <w:tc>
          <w:tcPr>
            <w:tcW w:w="992" w:type="dxa"/>
            <w:vAlign w:val="center"/>
          </w:tcPr>
          <w:p w14:paraId="0296B5F3" w14:textId="3E5C1B2E" w:rsidR="00CC4E71" w:rsidRPr="003D07A2" w:rsidRDefault="00F33039" w:rsidP="00CC4E71">
            <w:pPr>
              <w:jc w:val="center"/>
              <w:rPr>
                <w:rFonts w:cstheme="minorHAnsi"/>
              </w:rPr>
            </w:pPr>
            <w:r>
              <w:rPr>
                <w:rFonts w:cstheme="minorHAnsi"/>
              </w:rPr>
              <w:t>8 050</w:t>
            </w:r>
          </w:p>
        </w:tc>
        <w:tc>
          <w:tcPr>
            <w:tcW w:w="1134" w:type="dxa"/>
            <w:vAlign w:val="center"/>
          </w:tcPr>
          <w:p w14:paraId="6ACEE891" w14:textId="3E7BCFCC" w:rsidR="00CC4E71" w:rsidRPr="003D07A2" w:rsidRDefault="00366F1F" w:rsidP="00CC4E71">
            <w:pPr>
              <w:jc w:val="center"/>
              <w:rPr>
                <w:rFonts w:cstheme="minorHAnsi"/>
              </w:rPr>
            </w:pPr>
            <w:r>
              <w:rPr>
                <w:rFonts w:cstheme="minorHAnsi"/>
              </w:rPr>
              <w:t>7 834</w:t>
            </w:r>
          </w:p>
        </w:tc>
        <w:tc>
          <w:tcPr>
            <w:tcW w:w="1338" w:type="dxa"/>
            <w:vAlign w:val="center"/>
          </w:tcPr>
          <w:p w14:paraId="1EBCF2D9" w14:textId="599B7E41" w:rsidR="00CC4E71" w:rsidRPr="003D07A2" w:rsidRDefault="00366F1F" w:rsidP="00CC4E71">
            <w:pPr>
              <w:jc w:val="center"/>
              <w:rPr>
                <w:rFonts w:cstheme="minorHAnsi"/>
              </w:rPr>
            </w:pPr>
            <w:r>
              <w:rPr>
                <w:rFonts w:cstheme="minorHAnsi"/>
              </w:rPr>
              <w:t>+6</w:t>
            </w:r>
          </w:p>
        </w:tc>
        <w:tc>
          <w:tcPr>
            <w:tcW w:w="1009" w:type="dxa"/>
            <w:vAlign w:val="center"/>
          </w:tcPr>
          <w:p w14:paraId="51BD3617" w14:textId="7A91A7E4" w:rsidR="00CC4E71" w:rsidRPr="003D07A2" w:rsidRDefault="00366F1F" w:rsidP="00CC4E71">
            <w:pPr>
              <w:jc w:val="center"/>
              <w:rPr>
                <w:rFonts w:cstheme="minorHAnsi"/>
              </w:rPr>
            </w:pPr>
            <w:r>
              <w:rPr>
                <w:rFonts w:cstheme="minorHAnsi"/>
              </w:rPr>
              <w:t>-216</w:t>
            </w:r>
          </w:p>
        </w:tc>
      </w:tr>
    </w:tbl>
    <w:p w14:paraId="28E95A3A" w14:textId="77777777" w:rsidR="0066262A" w:rsidRDefault="0066262A" w:rsidP="002978D0">
      <w:pPr>
        <w:spacing w:after="0"/>
        <w:rPr>
          <w:rFonts w:cstheme="minorHAnsi"/>
        </w:rPr>
      </w:pPr>
    </w:p>
    <w:p w14:paraId="01029662" w14:textId="77777777" w:rsidR="00D7631D" w:rsidRDefault="00D7631D" w:rsidP="002978D0">
      <w:pPr>
        <w:spacing w:after="0"/>
        <w:rPr>
          <w:rFonts w:cstheme="minorHAnsi"/>
          <w:b/>
          <w:bCs/>
        </w:rPr>
      </w:pPr>
    </w:p>
    <w:p w14:paraId="6D09A686" w14:textId="5B4FEBB7" w:rsidR="002978D0" w:rsidRPr="003D07A2" w:rsidRDefault="008D79D0" w:rsidP="002978D0">
      <w:pPr>
        <w:spacing w:after="0"/>
        <w:rPr>
          <w:rFonts w:cstheme="minorHAnsi"/>
          <w:b/>
          <w:bCs/>
        </w:rPr>
      </w:pPr>
      <w:r w:rsidRPr="003D07A2">
        <w:rPr>
          <w:rFonts w:cstheme="minorHAnsi"/>
          <w:b/>
          <w:bCs/>
        </w:rPr>
        <w:t>Veselības aprūpes pakalpojumu īstenošana</w:t>
      </w:r>
    </w:p>
    <w:p w14:paraId="0C7F5493" w14:textId="44D9CDE4" w:rsidR="001739AA" w:rsidRPr="003D07A2" w:rsidRDefault="006B69E7" w:rsidP="00FA2AE6">
      <w:pPr>
        <w:spacing w:before="100" w:beforeAutospacing="1" w:after="100" w:afterAutospacing="1"/>
        <w:jc w:val="both"/>
        <w:rPr>
          <w:rFonts w:cstheme="minorHAnsi"/>
        </w:rPr>
      </w:pPr>
      <w:r w:rsidRPr="003D07A2">
        <w:rPr>
          <w:rFonts w:cstheme="minorHAnsi"/>
        </w:rPr>
        <w:t xml:space="preserve">Slimnīca saskaņā ar noslēgto līgumu ar </w:t>
      </w:r>
      <w:r w:rsidR="001579A3" w:rsidRPr="003D07A2">
        <w:rPr>
          <w:rFonts w:cstheme="minorHAnsi"/>
        </w:rPr>
        <w:t>N</w:t>
      </w:r>
      <w:r w:rsidRPr="003D07A2">
        <w:rPr>
          <w:rFonts w:cstheme="minorHAnsi"/>
        </w:rPr>
        <w:t xml:space="preserve">acionālo veselības dienestu saņem fiksēto maksājumu par uzņemšanas nodaļas darbību un piemaksu par observācijas gultu uzturēšanu. Pārskata periodā </w:t>
      </w:r>
      <w:r w:rsidR="00173AC7">
        <w:rPr>
          <w:rFonts w:cstheme="minorHAnsi"/>
        </w:rPr>
        <w:t>906</w:t>
      </w:r>
      <w:r w:rsidR="007D2D76">
        <w:rPr>
          <w:rFonts w:cstheme="minorHAnsi"/>
        </w:rPr>
        <w:t xml:space="preserve"> (</w:t>
      </w:r>
      <w:r w:rsidR="00742068">
        <w:rPr>
          <w:rFonts w:cstheme="minorHAnsi"/>
        </w:rPr>
        <w:t>2022.gadā 872;</w:t>
      </w:r>
      <w:r w:rsidR="00173AC7">
        <w:rPr>
          <w:rFonts w:cstheme="minorHAnsi"/>
        </w:rPr>
        <w:t xml:space="preserve"> </w:t>
      </w:r>
      <w:r w:rsidR="007D2D76">
        <w:rPr>
          <w:rFonts w:cstheme="minorHAnsi"/>
        </w:rPr>
        <w:t>2021.gad</w:t>
      </w:r>
      <w:r w:rsidR="0093423D">
        <w:rPr>
          <w:rFonts w:cstheme="minorHAnsi"/>
        </w:rPr>
        <w:t xml:space="preserve">ā </w:t>
      </w:r>
      <w:r w:rsidR="005362F9">
        <w:rPr>
          <w:rFonts w:cstheme="minorHAnsi"/>
        </w:rPr>
        <w:t>770</w:t>
      </w:r>
      <w:r w:rsidR="0093423D">
        <w:rPr>
          <w:rFonts w:cstheme="minorHAnsi"/>
        </w:rPr>
        <w:t>)</w:t>
      </w:r>
      <w:r w:rsidRPr="003D07A2">
        <w:rPr>
          <w:rFonts w:cstheme="minorHAnsi"/>
        </w:rPr>
        <w:t xml:space="preserve"> pacienti vērsušies uzņemšanas nodaļā pēc medicīniskās palīdzības, no tiem </w:t>
      </w:r>
      <w:r w:rsidR="009C6EAE">
        <w:rPr>
          <w:rFonts w:cstheme="minorHAnsi"/>
        </w:rPr>
        <w:t>4</w:t>
      </w:r>
      <w:r w:rsidR="00F82F08">
        <w:rPr>
          <w:rFonts w:cstheme="minorHAnsi"/>
        </w:rPr>
        <w:t>2</w:t>
      </w:r>
      <w:r w:rsidR="009C6EAE">
        <w:rPr>
          <w:rFonts w:cstheme="minorHAnsi"/>
        </w:rPr>
        <w:t xml:space="preserve"> (</w:t>
      </w:r>
      <w:r w:rsidR="00173AC7">
        <w:rPr>
          <w:rFonts w:cstheme="minorHAnsi"/>
        </w:rPr>
        <w:t xml:space="preserve">2022.gadā </w:t>
      </w:r>
      <w:r w:rsidR="00F82F08">
        <w:rPr>
          <w:rFonts w:cstheme="minorHAnsi"/>
        </w:rPr>
        <w:t xml:space="preserve">45; </w:t>
      </w:r>
      <w:r w:rsidR="009C6EAE">
        <w:rPr>
          <w:rFonts w:cstheme="minorHAnsi"/>
        </w:rPr>
        <w:t xml:space="preserve">2021.gadā </w:t>
      </w:r>
      <w:r w:rsidR="005362F9">
        <w:rPr>
          <w:rFonts w:cstheme="minorHAnsi"/>
        </w:rPr>
        <w:t>5</w:t>
      </w:r>
      <w:r w:rsidR="009C6EAE">
        <w:rPr>
          <w:rFonts w:cstheme="minorHAnsi"/>
        </w:rPr>
        <w:t>)</w:t>
      </w:r>
      <w:r w:rsidRPr="003D07A2">
        <w:rPr>
          <w:rFonts w:cstheme="minorHAnsi"/>
        </w:rPr>
        <w:t xml:space="preserve"> sniegta neatliekamā medicīniskā palīdzība un tie novirzīti turpmākai ambulatorai ārstēšanai. </w:t>
      </w:r>
      <w:r w:rsidR="005524CC">
        <w:rPr>
          <w:rFonts w:cstheme="minorHAnsi"/>
        </w:rPr>
        <w:t>43</w:t>
      </w:r>
      <w:r w:rsidR="003B6F4C">
        <w:rPr>
          <w:rFonts w:cstheme="minorHAnsi"/>
        </w:rPr>
        <w:t xml:space="preserve"> (</w:t>
      </w:r>
      <w:r w:rsidR="00F82F08">
        <w:rPr>
          <w:rFonts w:cstheme="minorHAnsi"/>
        </w:rPr>
        <w:t>2022.gadā 16;</w:t>
      </w:r>
      <w:r w:rsidR="005524CC">
        <w:rPr>
          <w:rFonts w:cstheme="minorHAnsi"/>
        </w:rPr>
        <w:t xml:space="preserve"> </w:t>
      </w:r>
      <w:r w:rsidR="003B6F4C">
        <w:rPr>
          <w:rFonts w:cstheme="minorHAnsi"/>
        </w:rPr>
        <w:t xml:space="preserve">2021. gadā </w:t>
      </w:r>
      <w:r w:rsidR="005362F9">
        <w:rPr>
          <w:rFonts w:cstheme="minorHAnsi"/>
        </w:rPr>
        <w:t>7</w:t>
      </w:r>
      <w:r w:rsidR="003B6F4C">
        <w:rPr>
          <w:rFonts w:cstheme="minorHAnsi"/>
        </w:rPr>
        <w:t>)</w:t>
      </w:r>
      <w:r w:rsidRPr="003D07A2">
        <w:rPr>
          <w:rFonts w:cstheme="minorHAnsi"/>
        </w:rPr>
        <w:t xml:space="preserve"> pacientiem nodrošināts observācijas pakalpojums, no tiem </w:t>
      </w:r>
      <w:r w:rsidR="005524CC">
        <w:rPr>
          <w:rFonts w:cstheme="minorHAnsi"/>
        </w:rPr>
        <w:t>20</w:t>
      </w:r>
      <w:r w:rsidRPr="003D07A2">
        <w:rPr>
          <w:rFonts w:cstheme="minorHAnsi"/>
        </w:rPr>
        <w:t xml:space="preserve"> pēc observācijas stacionēti diennakts stacionārā.</w:t>
      </w:r>
      <w:r w:rsidR="002239F0" w:rsidRPr="003D07A2">
        <w:rPr>
          <w:rFonts w:cstheme="minorHAnsi"/>
        </w:rPr>
        <w:t xml:space="preserve"> </w:t>
      </w:r>
    </w:p>
    <w:p w14:paraId="2FEBF68C" w14:textId="7B9FDCF3"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p>
    <w:tbl>
      <w:tblPr>
        <w:tblStyle w:val="Reatabula"/>
        <w:tblW w:w="8926" w:type="dxa"/>
        <w:tblLayout w:type="fixed"/>
        <w:tblLook w:val="04A0" w:firstRow="1" w:lastRow="0" w:firstColumn="1" w:lastColumn="0" w:noHBand="0" w:noVBand="1"/>
      </w:tblPr>
      <w:tblGrid>
        <w:gridCol w:w="3150"/>
        <w:gridCol w:w="1063"/>
        <w:gridCol w:w="2035"/>
        <w:gridCol w:w="1544"/>
        <w:gridCol w:w="1134"/>
      </w:tblGrid>
      <w:tr w:rsidR="00137EBF" w:rsidRPr="00107397" w14:paraId="430C70E7" w14:textId="77777777" w:rsidTr="00C37B1A">
        <w:trPr>
          <w:trHeight w:val="530"/>
        </w:trPr>
        <w:tc>
          <w:tcPr>
            <w:tcW w:w="3150" w:type="dxa"/>
            <w:hideMark/>
          </w:tcPr>
          <w:p w14:paraId="0A5E18ED" w14:textId="77777777"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NVD līguma stacionārās veselības aprūpes programmas</w:t>
            </w:r>
          </w:p>
        </w:tc>
        <w:tc>
          <w:tcPr>
            <w:tcW w:w="1063" w:type="dxa"/>
          </w:tcPr>
          <w:p w14:paraId="56EEFB30" w14:textId="4B56C31C"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Faktiski ārstēto pacientu skaits 20</w:t>
            </w:r>
            <w:r w:rsidR="005362F9" w:rsidRPr="00107397">
              <w:rPr>
                <w:rFonts w:eastAsia="Times New Roman" w:cstheme="minorHAnsi"/>
                <w:color w:val="000000"/>
                <w:sz w:val="20"/>
                <w:szCs w:val="20"/>
                <w:lang w:eastAsia="lv-LV"/>
              </w:rPr>
              <w:t>2</w:t>
            </w:r>
            <w:r w:rsidR="00107397" w:rsidRPr="00107397">
              <w:rPr>
                <w:rFonts w:eastAsia="Times New Roman" w:cstheme="minorHAnsi"/>
                <w:color w:val="000000"/>
                <w:sz w:val="20"/>
                <w:szCs w:val="20"/>
                <w:lang w:eastAsia="lv-LV"/>
              </w:rPr>
              <w:t>2</w:t>
            </w:r>
            <w:r w:rsidRPr="00107397">
              <w:rPr>
                <w:rFonts w:eastAsia="Times New Roman" w:cstheme="minorHAnsi"/>
                <w:color w:val="000000"/>
                <w:sz w:val="20"/>
                <w:szCs w:val="20"/>
                <w:lang w:eastAsia="lv-LV"/>
              </w:rPr>
              <w:t>.gadā</w:t>
            </w:r>
          </w:p>
        </w:tc>
        <w:tc>
          <w:tcPr>
            <w:tcW w:w="2035" w:type="dxa"/>
            <w:hideMark/>
          </w:tcPr>
          <w:p w14:paraId="29273808" w14:textId="60C82194"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Plānotais pacientu skaits līgumā 202</w:t>
            </w:r>
            <w:r w:rsidR="00107397" w:rsidRPr="00107397">
              <w:rPr>
                <w:rFonts w:eastAsia="Times New Roman" w:cstheme="minorHAnsi"/>
                <w:color w:val="000000"/>
                <w:sz w:val="20"/>
                <w:szCs w:val="20"/>
                <w:lang w:eastAsia="lv-LV"/>
              </w:rPr>
              <w:t>3</w:t>
            </w:r>
            <w:r w:rsidRPr="00107397">
              <w:rPr>
                <w:rFonts w:eastAsia="Times New Roman" w:cstheme="minorHAnsi"/>
                <w:color w:val="000000"/>
                <w:sz w:val="20"/>
                <w:szCs w:val="20"/>
                <w:lang w:eastAsia="lv-LV"/>
              </w:rPr>
              <w:t>.gadā</w:t>
            </w:r>
            <w:r w:rsidR="00730478">
              <w:rPr>
                <w:rFonts w:eastAsia="Times New Roman" w:cstheme="minorHAnsi"/>
                <w:color w:val="000000"/>
                <w:sz w:val="20"/>
                <w:szCs w:val="20"/>
                <w:lang w:eastAsia="lv-LV"/>
              </w:rPr>
              <w:t xml:space="preserve"> (03.02.2023.redakcija)</w:t>
            </w:r>
            <w:r w:rsidRPr="00107397">
              <w:rPr>
                <w:rFonts w:eastAsia="Times New Roman" w:cstheme="minorHAnsi"/>
                <w:color w:val="000000"/>
                <w:sz w:val="20"/>
                <w:szCs w:val="20"/>
                <w:lang w:eastAsia="lv-LV"/>
              </w:rPr>
              <w:t xml:space="preserve"> </w:t>
            </w:r>
          </w:p>
        </w:tc>
        <w:tc>
          <w:tcPr>
            <w:tcW w:w="1544" w:type="dxa"/>
          </w:tcPr>
          <w:p w14:paraId="609D4B58" w14:textId="17EB2430"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 xml:space="preserve">Faktiski </w:t>
            </w:r>
            <w:r w:rsidR="00867983">
              <w:rPr>
                <w:rFonts w:eastAsia="Times New Roman" w:cstheme="minorHAnsi"/>
                <w:color w:val="000000"/>
                <w:sz w:val="20"/>
                <w:szCs w:val="20"/>
                <w:lang w:eastAsia="lv-LV"/>
              </w:rPr>
              <w:t xml:space="preserve">apmaksāto </w:t>
            </w:r>
            <w:r w:rsidR="00C37B1A">
              <w:rPr>
                <w:rFonts w:eastAsia="Times New Roman" w:cstheme="minorHAnsi"/>
                <w:color w:val="000000"/>
                <w:sz w:val="20"/>
                <w:szCs w:val="20"/>
                <w:lang w:eastAsia="lv-LV"/>
              </w:rPr>
              <w:t>+ neapmaksāto</w:t>
            </w:r>
            <w:r w:rsidRPr="00107397">
              <w:rPr>
                <w:rFonts w:eastAsia="Times New Roman" w:cstheme="minorHAnsi"/>
                <w:color w:val="000000"/>
                <w:sz w:val="20"/>
                <w:szCs w:val="20"/>
                <w:lang w:eastAsia="lv-LV"/>
              </w:rPr>
              <w:t xml:space="preserve"> pacientu skaits 202</w:t>
            </w:r>
            <w:r w:rsidR="00107397" w:rsidRPr="00107397">
              <w:rPr>
                <w:rFonts w:eastAsia="Times New Roman" w:cstheme="minorHAnsi"/>
                <w:color w:val="000000"/>
                <w:sz w:val="20"/>
                <w:szCs w:val="20"/>
                <w:lang w:eastAsia="lv-LV"/>
              </w:rPr>
              <w:t>3</w:t>
            </w:r>
            <w:r w:rsidRPr="00107397">
              <w:rPr>
                <w:rFonts w:eastAsia="Times New Roman" w:cstheme="minorHAnsi"/>
                <w:color w:val="000000"/>
                <w:sz w:val="20"/>
                <w:szCs w:val="20"/>
                <w:lang w:eastAsia="lv-LV"/>
              </w:rPr>
              <w:t>.gadā</w:t>
            </w:r>
          </w:p>
        </w:tc>
        <w:tc>
          <w:tcPr>
            <w:tcW w:w="1134" w:type="dxa"/>
          </w:tcPr>
          <w:p w14:paraId="0D6050E7" w14:textId="21D9296E" w:rsidR="00137EBF" w:rsidRPr="00107397" w:rsidRDefault="00137EBF" w:rsidP="00867983">
            <w:pPr>
              <w:jc w:val="center"/>
              <w:rPr>
                <w:rFonts w:eastAsia="Times New Roman" w:cstheme="minorHAnsi"/>
                <w:color w:val="000000"/>
                <w:sz w:val="20"/>
                <w:szCs w:val="20"/>
                <w:lang w:eastAsia="lv-LV"/>
              </w:rPr>
            </w:pPr>
            <w:r w:rsidRPr="00107397">
              <w:rPr>
                <w:rFonts w:cstheme="minorHAnsi"/>
                <w:sz w:val="20"/>
                <w:szCs w:val="20"/>
              </w:rPr>
              <w:t>Novirze pret 20</w:t>
            </w:r>
            <w:r w:rsidR="005362F9" w:rsidRPr="00107397">
              <w:rPr>
                <w:rFonts w:cstheme="minorHAnsi"/>
                <w:sz w:val="20"/>
                <w:szCs w:val="20"/>
              </w:rPr>
              <w:t>2</w:t>
            </w:r>
            <w:r w:rsidR="00107397" w:rsidRPr="00107397">
              <w:rPr>
                <w:rFonts w:cstheme="minorHAnsi"/>
                <w:sz w:val="20"/>
                <w:szCs w:val="20"/>
              </w:rPr>
              <w:t>2</w:t>
            </w:r>
            <w:r w:rsidRPr="00107397">
              <w:rPr>
                <w:rFonts w:cstheme="minorHAnsi"/>
                <w:sz w:val="20"/>
                <w:szCs w:val="20"/>
              </w:rPr>
              <w:t>.gadu</w:t>
            </w:r>
          </w:p>
        </w:tc>
      </w:tr>
      <w:tr w:rsidR="00107397" w:rsidRPr="003D07A2" w14:paraId="50B444D8" w14:textId="77777777" w:rsidTr="00C37B1A">
        <w:trPr>
          <w:trHeight w:val="427"/>
        </w:trPr>
        <w:tc>
          <w:tcPr>
            <w:tcW w:w="3150" w:type="dxa"/>
            <w:vAlign w:val="center"/>
            <w:hideMark/>
          </w:tcPr>
          <w:p w14:paraId="4F543698"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063" w:type="dxa"/>
            <w:vAlign w:val="center"/>
          </w:tcPr>
          <w:p w14:paraId="6CBF358A" w14:textId="45B44748"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508</w:t>
            </w:r>
          </w:p>
        </w:tc>
        <w:tc>
          <w:tcPr>
            <w:tcW w:w="2035" w:type="dxa"/>
            <w:vAlign w:val="center"/>
          </w:tcPr>
          <w:p w14:paraId="7E75E48B" w14:textId="08A11CAE" w:rsidR="00107397" w:rsidRPr="003D07A2" w:rsidRDefault="008F0395" w:rsidP="00107397">
            <w:pPr>
              <w:spacing w:line="276" w:lineRule="auto"/>
              <w:jc w:val="center"/>
              <w:rPr>
                <w:rFonts w:eastAsia="Times New Roman" w:cstheme="minorHAnsi"/>
                <w:lang w:eastAsia="lv-LV"/>
              </w:rPr>
            </w:pPr>
            <w:r>
              <w:rPr>
                <w:rFonts w:eastAsia="Times New Roman" w:cstheme="minorHAnsi"/>
                <w:lang w:eastAsia="lv-LV"/>
              </w:rPr>
              <w:t>510</w:t>
            </w:r>
          </w:p>
        </w:tc>
        <w:tc>
          <w:tcPr>
            <w:tcW w:w="1544" w:type="dxa"/>
            <w:vAlign w:val="center"/>
          </w:tcPr>
          <w:p w14:paraId="0BCD9A9E" w14:textId="6D5D3153" w:rsidR="00107397" w:rsidRPr="003D07A2" w:rsidRDefault="00537ECE" w:rsidP="00107397">
            <w:pPr>
              <w:spacing w:line="276" w:lineRule="auto"/>
              <w:jc w:val="center"/>
              <w:rPr>
                <w:rFonts w:eastAsia="Times New Roman" w:cstheme="minorHAnsi"/>
                <w:color w:val="000000"/>
                <w:lang w:eastAsia="lv-LV"/>
              </w:rPr>
            </w:pPr>
            <w:r>
              <w:rPr>
                <w:rFonts w:eastAsia="Times New Roman" w:cstheme="minorHAnsi"/>
                <w:color w:val="000000"/>
                <w:lang w:eastAsia="lv-LV"/>
              </w:rPr>
              <w:t>510</w:t>
            </w:r>
            <w:r w:rsidR="004C3130">
              <w:rPr>
                <w:rFonts w:eastAsia="Times New Roman" w:cstheme="minorHAnsi"/>
                <w:color w:val="000000"/>
                <w:lang w:eastAsia="lv-LV"/>
              </w:rPr>
              <w:t>/</w:t>
            </w:r>
            <w:r w:rsidR="009958CF">
              <w:rPr>
                <w:rFonts w:eastAsia="Times New Roman" w:cstheme="minorHAnsi"/>
                <w:color w:val="000000"/>
                <w:lang w:eastAsia="lv-LV"/>
              </w:rPr>
              <w:t>+</w:t>
            </w:r>
            <w:r w:rsidR="00D744E8">
              <w:rPr>
                <w:rFonts w:eastAsia="Times New Roman" w:cstheme="minorHAnsi"/>
                <w:color w:val="000000"/>
                <w:lang w:eastAsia="lv-LV"/>
              </w:rPr>
              <w:t>28</w:t>
            </w:r>
          </w:p>
        </w:tc>
        <w:tc>
          <w:tcPr>
            <w:tcW w:w="1134" w:type="dxa"/>
            <w:vAlign w:val="center"/>
          </w:tcPr>
          <w:p w14:paraId="69B14516" w14:textId="62232115"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+30</w:t>
            </w:r>
          </w:p>
        </w:tc>
      </w:tr>
      <w:tr w:rsidR="00107397" w:rsidRPr="003D07A2" w14:paraId="1ACACFEF" w14:textId="77777777" w:rsidTr="00C37B1A">
        <w:trPr>
          <w:trHeight w:val="179"/>
        </w:trPr>
        <w:tc>
          <w:tcPr>
            <w:tcW w:w="3150" w:type="dxa"/>
            <w:vAlign w:val="center"/>
            <w:hideMark/>
          </w:tcPr>
          <w:p w14:paraId="2EC1E2DE"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063" w:type="dxa"/>
            <w:vAlign w:val="center"/>
          </w:tcPr>
          <w:p w14:paraId="5F2934AA" w14:textId="3EB3182D"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91</w:t>
            </w:r>
          </w:p>
        </w:tc>
        <w:tc>
          <w:tcPr>
            <w:tcW w:w="2035" w:type="dxa"/>
            <w:vAlign w:val="center"/>
          </w:tcPr>
          <w:p w14:paraId="4AD64BAD" w14:textId="722DC974" w:rsidR="00107397" w:rsidRPr="003D07A2" w:rsidRDefault="00EC7337" w:rsidP="00107397">
            <w:pPr>
              <w:spacing w:line="276" w:lineRule="auto"/>
              <w:jc w:val="center"/>
              <w:rPr>
                <w:rFonts w:eastAsia="Times New Roman" w:cstheme="minorHAnsi"/>
                <w:lang w:eastAsia="lv-LV"/>
              </w:rPr>
            </w:pPr>
            <w:r>
              <w:rPr>
                <w:rFonts w:eastAsia="Times New Roman" w:cstheme="minorHAnsi"/>
                <w:lang w:eastAsia="lv-LV"/>
              </w:rPr>
              <w:t>82</w:t>
            </w:r>
          </w:p>
        </w:tc>
        <w:tc>
          <w:tcPr>
            <w:tcW w:w="1544" w:type="dxa"/>
            <w:vAlign w:val="center"/>
          </w:tcPr>
          <w:p w14:paraId="1A221799" w14:textId="27C5E133" w:rsidR="00107397" w:rsidRPr="003D07A2" w:rsidRDefault="00537ECE" w:rsidP="00107397">
            <w:pPr>
              <w:spacing w:line="276" w:lineRule="auto"/>
              <w:jc w:val="center"/>
              <w:rPr>
                <w:rFonts w:eastAsia="Times New Roman" w:cstheme="minorHAnsi"/>
                <w:color w:val="000000"/>
                <w:lang w:eastAsia="lv-LV"/>
              </w:rPr>
            </w:pPr>
            <w:r>
              <w:rPr>
                <w:rFonts w:eastAsia="Times New Roman" w:cstheme="minorHAnsi"/>
                <w:color w:val="000000"/>
                <w:lang w:eastAsia="lv-LV"/>
              </w:rPr>
              <w:t>82</w:t>
            </w:r>
            <w:r w:rsidR="004C3130">
              <w:rPr>
                <w:rFonts w:eastAsia="Times New Roman" w:cstheme="minorHAnsi"/>
                <w:color w:val="000000"/>
                <w:lang w:eastAsia="lv-LV"/>
              </w:rPr>
              <w:t>/</w:t>
            </w:r>
            <w:r w:rsidR="00D744E8">
              <w:rPr>
                <w:rFonts w:eastAsia="Times New Roman" w:cstheme="minorHAnsi"/>
                <w:color w:val="000000"/>
                <w:lang w:eastAsia="lv-LV"/>
              </w:rPr>
              <w:t>+</w:t>
            </w:r>
            <w:r w:rsidR="0078621E">
              <w:rPr>
                <w:rFonts w:eastAsia="Times New Roman" w:cstheme="minorHAnsi"/>
                <w:color w:val="000000"/>
                <w:lang w:eastAsia="lv-LV"/>
              </w:rPr>
              <w:t>50</w:t>
            </w:r>
          </w:p>
        </w:tc>
        <w:tc>
          <w:tcPr>
            <w:tcW w:w="1134" w:type="dxa"/>
            <w:vAlign w:val="center"/>
          </w:tcPr>
          <w:p w14:paraId="28F003B4" w14:textId="4F33C59F"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+41</w:t>
            </w:r>
          </w:p>
        </w:tc>
      </w:tr>
      <w:tr w:rsidR="00107397" w:rsidRPr="003D07A2" w14:paraId="21C00247" w14:textId="77777777" w:rsidTr="00C37B1A">
        <w:trPr>
          <w:trHeight w:val="156"/>
        </w:trPr>
        <w:tc>
          <w:tcPr>
            <w:tcW w:w="3150" w:type="dxa"/>
            <w:vAlign w:val="center"/>
            <w:hideMark/>
          </w:tcPr>
          <w:p w14:paraId="7197B87F"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063" w:type="dxa"/>
            <w:vAlign w:val="center"/>
          </w:tcPr>
          <w:p w14:paraId="648DD493" w14:textId="320FF607"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130</w:t>
            </w:r>
          </w:p>
        </w:tc>
        <w:tc>
          <w:tcPr>
            <w:tcW w:w="2035" w:type="dxa"/>
            <w:vAlign w:val="center"/>
          </w:tcPr>
          <w:p w14:paraId="3020EFBC" w14:textId="3CF0A469" w:rsidR="00107397" w:rsidRPr="003D07A2" w:rsidRDefault="007B504E" w:rsidP="00107397">
            <w:pPr>
              <w:spacing w:line="276" w:lineRule="auto"/>
              <w:jc w:val="center"/>
              <w:rPr>
                <w:rFonts w:eastAsia="Times New Roman" w:cstheme="minorHAnsi"/>
                <w:lang w:eastAsia="lv-LV"/>
              </w:rPr>
            </w:pPr>
            <w:r>
              <w:rPr>
                <w:rFonts w:eastAsia="Times New Roman" w:cstheme="minorHAnsi"/>
                <w:lang w:eastAsia="lv-LV"/>
              </w:rPr>
              <w:t>136</w:t>
            </w:r>
          </w:p>
        </w:tc>
        <w:tc>
          <w:tcPr>
            <w:tcW w:w="1544" w:type="dxa"/>
            <w:vAlign w:val="center"/>
          </w:tcPr>
          <w:p w14:paraId="7A99BB16" w14:textId="170E94A1" w:rsidR="00107397" w:rsidRPr="003D07A2" w:rsidRDefault="00537ECE" w:rsidP="00107397">
            <w:pPr>
              <w:spacing w:line="276" w:lineRule="auto"/>
              <w:jc w:val="center"/>
              <w:rPr>
                <w:rFonts w:eastAsia="Times New Roman" w:cstheme="minorHAnsi"/>
                <w:color w:val="000000"/>
                <w:lang w:eastAsia="lv-LV"/>
              </w:rPr>
            </w:pPr>
            <w:r>
              <w:rPr>
                <w:rFonts w:eastAsia="Times New Roman" w:cstheme="minorHAnsi"/>
                <w:color w:val="000000"/>
                <w:lang w:eastAsia="lv-LV"/>
              </w:rPr>
              <w:t>124</w:t>
            </w:r>
          </w:p>
        </w:tc>
        <w:tc>
          <w:tcPr>
            <w:tcW w:w="1134" w:type="dxa"/>
            <w:vAlign w:val="center"/>
          </w:tcPr>
          <w:p w14:paraId="76AB393E" w14:textId="4BC870CA"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-6</w:t>
            </w:r>
          </w:p>
        </w:tc>
      </w:tr>
      <w:tr w:rsidR="00107397" w:rsidRPr="003D07A2" w14:paraId="2C23E992" w14:textId="77777777" w:rsidTr="00C37B1A">
        <w:trPr>
          <w:trHeight w:val="331"/>
        </w:trPr>
        <w:tc>
          <w:tcPr>
            <w:tcW w:w="3150" w:type="dxa"/>
            <w:vAlign w:val="center"/>
            <w:hideMark/>
          </w:tcPr>
          <w:p w14:paraId="5E240FEB"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063" w:type="dxa"/>
            <w:vAlign w:val="center"/>
          </w:tcPr>
          <w:p w14:paraId="28839811" w14:textId="2066B5CB"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9</w:t>
            </w:r>
          </w:p>
        </w:tc>
        <w:tc>
          <w:tcPr>
            <w:tcW w:w="2035" w:type="dxa"/>
            <w:vAlign w:val="center"/>
          </w:tcPr>
          <w:p w14:paraId="5B6D9B04" w14:textId="76C546E8" w:rsidR="00107397" w:rsidRPr="003D07A2" w:rsidRDefault="00867983" w:rsidP="00107397">
            <w:pPr>
              <w:spacing w:line="276" w:lineRule="auto"/>
              <w:jc w:val="center"/>
              <w:rPr>
                <w:rFonts w:eastAsia="Times New Roman" w:cstheme="minorHAnsi"/>
                <w:lang w:eastAsia="lv-LV"/>
              </w:rPr>
            </w:pPr>
            <w:r>
              <w:rPr>
                <w:rFonts w:eastAsia="Times New Roman" w:cstheme="minorHAnsi"/>
                <w:lang w:eastAsia="lv-LV"/>
              </w:rPr>
              <w:t>5</w:t>
            </w:r>
          </w:p>
        </w:tc>
        <w:tc>
          <w:tcPr>
            <w:tcW w:w="1544" w:type="dxa"/>
            <w:vAlign w:val="center"/>
          </w:tcPr>
          <w:p w14:paraId="16E0D64D" w14:textId="6BE8D943" w:rsidR="00107397" w:rsidRPr="003D07A2" w:rsidRDefault="005420B4" w:rsidP="00107397">
            <w:pPr>
              <w:spacing w:line="276" w:lineRule="auto"/>
              <w:jc w:val="center"/>
              <w:rPr>
                <w:rFonts w:eastAsia="Times New Roman" w:cstheme="minorHAnsi"/>
                <w:color w:val="000000"/>
                <w:lang w:eastAsia="lv-LV"/>
              </w:rPr>
            </w:pPr>
            <w:r>
              <w:rPr>
                <w:rFonts w:eastAsia="Times New Roman" w:cstheme="minorHAnsi"/>
                <w:color w:val="000000"/>
                <w:lang w:eastAsia="lv-LV"/>
              </w:rPr>
              <w:t>5</w:t>
            </w:r>
            <w:r w:rsidR="004C3130">
              <w:rPr>
                <w:rFonts w:eastAsia="Times New Roman" w:cstheme="minorHAnsi"/>
                <w:color w:val="000000"/>
                <w:lang w:eastAsia="lv-LV"/>
              </w:rPr>
              <w:t>/+3</w:t>
            </w:r>
          </w:p>
        </w:tc>
        <w:tc>
          <w:tcPr>
            <w:tcW w:w="1134" w:type="dxa"/>
            <w:vAlign w:val="center"/>
          </w:tcPr>
          <w:p w14:paraId="4A8A0663" w14:textId="6D0D3C7F"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-1</w:t>
            </w:r>
          </w:p>
        </w:tc>
      </w:tr>
      <w:tr w:rsidR="00107397" w:rsidRPr="003D07A2" w14:paraId="05E38A06" w14:textId="77777777" w:rsidTr="00C37B1A">
        <w:trPr>
          <w:trHeight w:val="495"/>
        </w:trPr>
        <w:tc>
          <w:tcPr>
            <w:tcW w:w="3150" w:type="dxa"/>
            <w:vAlign w:val="center"/>
            <w:hideMark/>
          </w:tcPr>
          <w:p w14:paraId="78C44533" w14:textId="39B857AA"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bērniem</w:t>
            </w:r>
          </w:p>
        </w:tc>
        <w:tc>
          <w:tcPr>
            <w:tcW w:w="1063" w:type="dxa"/>
            <w:vAlign w:val="center"/>
          </w:tcPr>
          <w:p w14:paraId="1C9FBA74" w14:textId="3205E0B4"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8</w:t>
            </w:r>
          </w:p>
        </w:tc>
        <w:tc>
          <w:tcPr>
            <w:tcW w:w="2035" w:type="dxa"/>
            <w:vAlign w:val="center"/>
          </w:tcPr>
          <w:p w14:paraId="36C0B09C" w14:textId="32181150" w:rsidR="00107397" w:rsidRPr="003D07A2" w:rsidRDefault="00867983" w:rsidP="00107397">
            <w:pPr>
              <w:spacing w:line="276" w:lineRule="auto"/>
              <w:jc w:val="center"/>
              <w:rPr>
                <w:rFonts w:eastAsia="Times New Roman" w:cstheme="minorHAnsi"/>
                <w:lang w:eastAsia="lv-LV"/>
              </w:rPr>
            </w:pPr>
            <w:r>
              <w:rPr>
                <w:rFonts w:eastAsia="Times New Roman" w:cstheme="minorHAnsi"/>
                <w:lang w:eastAsia="lv-LV"/>
              </w:rPr>
              <w:t>10</w:t>
            </w:r>
          </w:p>
        </w:tc>
        <w:tc>
          <w:tcPr>
            <w:tcW w:w="1544" w:type="dxa"/>
            <w:vAlign w:val="center"/>
          </w:tcPr>
          <w:p w14:paraId="19441A8E" w14:textId="2D5E4DD4" w:rsidR="00107397" w:rsidRPr="003D07A2" w:rsidRDefault="005420B4" w:rsidP="00107397">
            <w:pPr>
              <w:spacing w:line="276" w:lineRule="auto"/>
              <w:jc w:val="center"/>
              <w:rPr>
                <w:rFonts w:eastAsia="Times New Roman" w:cstheme="minorHAnsi"/>
                <w:color w:val="000000"/>
                <w:lang w:eastAsia="lv-LV"/>
              </w:rPr>
            </w:pPr>
            <w:r>
              <w:rPr>
                <w:rFonts w:eastAsia="Times New Roman" w:cstheme="minorHAnsi"/>
                <w:color w:val="000000"/>
                <w:lang w:eastAsia="lv-LV"/>
              </w:rPr>
              <w:t>10</w:t>
            </w:r>
            <w:r w:rsidR="003807C9">
              <w:rPr>
                <w:rFonts w:eastAsia="Times New Roman" w:cstheme="minorHAnsi"/>
                <w:color w:val="000000"/>
                <w:lang w:eastAsia="lv-LV"/>
              </w:rPr>
              <w:t>/+2</w:t>
            </w:r>
          </w:p>
        </w:tc>
        <w:tc>
          <w:tcPr>
            <w:tcW w:w="1134" w:type="dxa"/>
            <w:vAlign w:val="center"/>
          </w:tcPr>
          <w:p w14:paraId="64BB70CE" w14:textId="5B9D8D64"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+4</w:t>
            </w:r>
          </w:p>
        </w:tc>
      </w:tr>
      <w:tr w:rsidR="00107397" w:rsidRPr="003D07A2" w14:paraId="3507D5E0" w14:textId="77777777" w:rsidTr="00C37B1A">
        <w:trPr>
          <w:trHeight w:val="517"/>
        </w:trPr>
        <w:tc>
          <w:tcPr>
            <w:tcW w:w="3150" w:type="dxa"/>
            <w:vAlign w:val="center"/>
            <w:hideMark/>
          </w:tcPr>
          <w:p w14:paraId="0532ACF9"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063" w:type="dxa"/>
            <w:vAlign w:val="center"/>
          </w:tcPr>
          <w:p w14:paraId="0422870E" w14:textId="1EDC301C"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c>
          <w:tcPr>
            <w:tcW w:w="2035" w:type="dxa"/>
            <w:vAlign w:val="center"/>
          </w:tcPr>
          <w:p w14:paraId="3BA3D936" w14:textId="76E0251D" w:rsidR="00107397" w:rsidRPr="003D07A2" w:rsidRDefault="007B504E" w:rsidP="00107397">
            <w:pPr>
              <w:spacing w:line="276" w:lineRule="auto"/>
              <w:jc w:val="center"/>
              <w:rPr>
                <w:rFonts w:eastAsia="Times New Roman" w:cstheme="minorHAnsi"/>
                <w:lang w:eastAsia="lv-LV"/>
              </w:rPr>
            </w:pPr>
            <w:r>
              <w:rPr>
                <w:rFonts w:eastAsia="Times New Roman" w:cstheme="minorHAnsi"/>
                <w:lang w:eastAsia="lv-LV"/>
              </w:rPr>
              <w:t>1</w:t>
            </w:r>
          </w:p>
        </w:tc>
        <w:tc>
          <w:tcPr>
            <w:tcW w:w="1544" w:type="dxa"/>
            <w:vAlign w:val="center"/>
          </w:tcPr>
          <w:p w14:paraId="17D0BE24" w14:textId="4531EFB6" w:rsidR="00107397" w:rsidRPr="003D07A2" w:rsidRDefault="00DA23DD"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4C3130">
              <w:rPr>
                <w:rFonts w:eastAsia="Times New Roman" w:cstheme="minorHAnsi"/>
                <w:color w:val="000000"/>
                <w:lang w:eastAsia="lv-LV"/>
              </w:rPr>
              <w:t>/+4</w:t>
            </w:r>
          </w:p>
        </w:tc>
        <w:tc>
          <w:tcPr>
            <w:tcW w:w="1134" w:type="dxa"/>
            <w:vAlign w:val="center"/>
          </w:tcPr>
          <w:p w14:paraId="3E1B3688" w14:textId="0B1F3B02"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+4</w:t>
            </w:r>
          </w:p>
        </w:tc>
      </w:tr>
      <w:tr w:rsidR="00107397" w:rsidRPr="003D07A2" w14:paraId="29356831" w14:textId="77777777" w:rsidTr="00C37B1A">
        <w:trPr>
          <w:trHeight w:val="483"/>
        </w:trPr>
        <w:tc>
          <w:tcPr>
            <w:tcW w:w="3150" w:type="dxa"/>
            <w:vAlign w:val="center"/>
            <w:hideMark/>
          </w:tcPr>
          <w:p w14:paraId="08A4BD62"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063" w:type="dxa"/>
            <w:vAlign w:val="center"/>
          </w:tcPr>
          <w:p w14:paraId="33020543" w14:textId="0C8753C2"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28</w:t>
            </w:r>
          </w:p>
        </w:tc>
        <w:tc>
          <w:tcPr>
            <w:tcW w:w="2035" w:type="dxa"/>
            <w:vAlign w:val="center"/>
          </w:tcPr>
          <w:p w14:paraId="6F9098B4" w14:textId="691E4119" w:rsidR="00107397" w:rsidRPr="003D07A2" w:rsidRDefault="00867983" w:rsidP="00107397">
            <w:pPr>
              <w:spacing w:line="276" w:lineRule="auto"/>
              <w:jc w:val="center"/>
              <w:rPr>
                <w:rFonts w:eastAsia="Times New Roman" w:cstheme="minorHAnsi"/>
                <w:lang w:eastAsia="lv-LV"/>
              </w:rPr>
            </w:pPr>
            <w:r>
              <w:rPr>
                <w:rFonts w:eastAsia="Times New Roman" w:cstheme="minorHAnsi"/>
                <w:lang w:eastAsia="lv-LV"/>
              </w:rPr>
              <w:t>32</w:t>
            </w:r>
          </w:p>
        </w:tc>
        <w:tc>
          <w:tcPr>
            <w:tcW w:w="1544" w:type="dxa"/>
            <w:vAlign w:val="center"/>
          </w:tcPr>
          <w:p w14:paraId="193F2888" w14:textId="52284E1E" w:rsidR="00107397" w:rsidRPr="003D07A2" w:rsidRDefault="00DA23DD" w:rsidP="00107397">
            <w:pPr>
              <w:spacing w:line="276" w:lineRule="auto"/>
              <w:jc w:val="center"/>
              <w:rPr>
                <w:rFonts w:eastAsia="Times New Roman" w:cstheme="minorHAnsi"/>
                <w:color w:val="000000"/>
                <w:lang w:eastAsia="lv-LV"/>
              </w:rPr>
            </w:pPr>
            <w:r>
              <w:rPr>
                <w:rFonts w:eastAsia="Times New Roman" w:cstheme="minorHAnsi"/>
                <w:color w:val="000000"/>
                <w:lang w:eastAsia="lv-LV"/>
              </w:rPr>
              <w:t>32</w:t>
            </w:r>
            <w:r w:rsidR="003807C9">
              <w:rPr>
                <w:rFonts w:eastAsia="Times New Roman" w:cstheme="minorHAnsi"/>
                <w:color w:val="000000"/>
                <w:lang w:eastAsia="lv-LV"/>
              </w:rPr>
              <w:t>/+1</w:t>
            </w:r>
          </w:p>
        </w:tc>
        <w:tc>
          <w:tcPr>
            <w:tcW w:w="1134" w:type="dxa"/>
            <w:vAlign w:val="center"/>
          </w:tcPr>
          <w:p w14:paraId="270295B1" w14:textId="35BC30AB" w:rsidR="00107397" w:rsidRPr="003D07A2" w:rsidRDefault="000C7EA7" w:rsidP="00107397">
            <w:pPr>
              <w:spacing w:line="276" w:lineRule="auto"/>
              <w:jc w:val="center"/>
              <w:rPr>
                <w:rFonts w:eastAsia="Times New Roman" w:cstheme="minorHAnsi"/>
                <w:color w:val="000000"/>
                <w:lang w:eastAsia="lv-LV"/>
              </w:rPr>
            </w:pPr>
            <w:r>
              <w:rPr>
                <w:rFonts w:eastAsia="Times New Roman" w:cstheme="minorHAnsi"/>
                <w:color w:val="000000"/>
                <w:lang w:eastAsia="lv-LV"/>
              </w:rPr>
              <w:t>+5</w:t>
            </w:r>
          </w:p>
        </w:tc>
      </w:tr>
      <w:tr w:rsidR="00107397" w:rsidRPr="003D07A2" w14:paraId="40C53A99" w14:textId="77777777" w:rsidTr="00C37B1A">
        <w:trPr>
          <w:trHeight w:val="185"/>
        </w:trPr>
        <w:tc>
          <w:tcPr>
            <w:tcW w:w="3150" w:type="dxa"/>
            <w:noWrap/>
            <w:vAlign w:val="center"/>
            <w:hideMark/>
          </w:tcPr>
          <w:p w14:paraId="00EADED2" w14:textId="17540D35"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063" w:type="dxa"/>
            <w:vAlign w:val="center"/>
          </w:tcPr>
          <w:p w14:paraId="4D72C88C" w14:textId="5606C500"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774</w:t>
            </w:r>
          </w:p>
        </w:tc>
        <w:tc>
          <w:tcPr>
            <w:tcW w:w="2035" w:type="dxa"/>
            <w:noWrap/>
            <w:vAlign w:val="center"/>
          </w:tcPr>
          <w:p w14:paraId="47848DC8" w14:textId="0269F8A6" w:rsidR="00107397" w:rsidRPr="003D07A2" w:rsidRDefault="00867983" w:rsidP="00107397">
            <w:pPr>
              <w:spacing w:line="276" w:lineRule="auto"/>
              <w:jc w:val="center"/>
              <w:rPr>
                <w:rFonts w:eastAsia="Times New Roman" w:cstheme="minorHAnsi"/>
                <w:lang w:eastAsia="lv-LV"/>
              </w:rPr>
            </w:pPr>
            <w:r>
              <w:rPr>
                <w:rFonts w:eastAsia="Times New Roman" w:cstheme="minorHAnsi"/>
                <w:lang w:eastAsia="lv-LV"/>
              </w:rPr>
              <w:t>777</w:t>
            </w:r>
          </w:p>
        </w:tc>
        <w:tc>
          <w:tcPr>
            <w:tcW w:w="1544" w:type="dxa"/>
            <w:vAlign w:val="center"/>
          </w:tcPr>
          <w:p w14:paraId="43401EAD" w14:textId="076AF245" w:rsidR="00107397" w:rsidRPr="003D07A2" w:rsidRDefault="0012512C" w:rsidP="00107397">
            <w:pPr>
              <w:spacing w:line="276" w:lineRule="auto"/>
              <w:jc w:val="center"/>
              <w:rPr>
                <w:rFonts w:eastAsia="Times New Roman" w:cstheme="minorHAnsi"/>
                <w:color w:val="000000"/>
                <w:lang w:eastAsia="lv-LV"/>
              </w:rPr>
            </w:pPr>
            <w:r>
              <w:rPr>
                <w:rFonts w:eastAsia="Times New Roman" w:cstheme="minorHAnsi"/>
                <w:color w:val="000000"/>
                <w:lang w:eastAsia="lv-LV"/>
              </w:rPr>
              <w:t>763</w:t>
            </w:r>
            <w:r w:rsidR="00650EAB">
              <w:rPr>
                <w:rFonts w:eastAsia="Times New Roman" w:cstheme="minorHAnsi"/>
                <w:color w:val="000000"/>
                <w:lang w:eastAsia="lv-LV"/>
              </w:rPr>
              <w:t>/</w:t>
            </w:r>
            <w:r>
              <w:rPr>
                <w:rFonts w:eastAsia="Times New Roman" w:cstheme="minorHAnsi"/>
                <w:color w:val="000000"/>
                <w:lang w:eastAsia="lv-LV"/>
              </w:rPr>
              <w:t>+</w:t>
            </w:r>
            <w:r w:rsidR="003F6F6E">
              <w:rPr>
                <w:rFonts w:eastAsia="Times New Roman" w:cstheme="minorHAnsi"/>
                <w:color w:val="000000"/>
                <w:lang w:eastAsia="lv-LV"/>
              </w:rPr>
              <w:t>88</w:t>
            </w:r>
          </w:p>
        </w:tc>
        <w:tc>
          <w:tcPr>
            <w:tcW w:w="1134" w:type="dxa"/>
            <w:vAlign w:val="center"/>
          </w:tcPr>
          <w:p w14:paraId="0DE5B7B4" w14:textId="153A1F53" w:rsidR="00107397" w:rsidRPr="003D07A2" w:rsidRDefault="000C7EA7" w:rsidP="00107397">
            <w:pPr>
              <w:spacing w:line="276" w:lineRule="auto"/>
              <w:jc w:val="center"/>
              <w:rPr>
                <w:rFonts w:eastAsia="Times New Roman" w:cstheme="minorHAnsi"/>
                <w:color w:val="000000"/>
                <w:lang w:eastAsia="lv-LV"/>
              </w:rPr>
            </w:pPr>
            <w:r>
              <w:rPr>
                <w:rFonts w:eastAsia="Times New Roman" w:cstheme="minorHAnsi"/>
                <w:color w:val="000000"/>
                <w:lang w:eastAsia="lv-LV"/>
              </w:rPr>
              <w:t>+77</w:t>
            </w:r>
          </w:p>
        </w:tc>
      </w:tr>
      <w:tr w:rsidR="00107397" w:rsidRPr="003D07A2" w14:paraId="0011F38B" w14:textId="77777777" w:rsidTr="00C37B1A">
        <w:trPr>
          <w:trHeight w:val="185"/>
        </w:trPr>
        <w:tc>
          <w:tcPr>
            <w:tcW w:w="3150" w:type="dxa"/>
            <w:noWrap/>
            <w:vAlign w:val="center"/>
          </w:tcPr>
          <w:p w14:paraId="6965E0FD"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p>
        </w:tc>
        <w:tc>
          <w:tcPr>
            <w:tcW w:w="1063" w:type="dxa"/>
            <w:vAlign w:val="center"/>
          </w:tcPr>
          <w:p w14:paraId="047528D9" w14:textId="609B2010"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46</w:t>
            </w:r>
          </w:p>
        </w:tc>
        <w:tc>
          <w:tcPr>
            <w:tcW w:w="2035" w:type="dxa"/>
            <w:noWrap/>
            <w:vAlign w:val="center"/>
          </w:tcPr>
          <w:p w14:paraId="1DACC5A1" w14:textId="6FC76964" w:rsidR="00107397" w:rsidRPr="003D07A2" w:rsidRDefault="0012512C" w:rsidP="00107397">
            <w:pPr>
              <w:spacing w:line="276" w:lineRule="auto"/>
              <w:jc w:val="center"/>
              <w:rPr>
                <w:rFonts w:eastAsia="Times New Roman" w:cstheme="minorHAnsi"/>
                <w:lang w:eastAsia="lv-LV"/>
              </w:rPr>
            </w:pPr>
            <w:r>
              <w:rPr>
                <w:rFonts w:eastAsia="Times New Roman" w:cstheme="minorHAnsi"/>
                <w:lang w:eastAsia="lv-LV"/>
              </w:rPr>
              <w:t>-</w:t>
            </w:r>
          </w:p>
        </w:tc>
        <w:tc>
          <w:tcPr>
            <w:tcW w:w="1544" w:type="dxa"/>
            <w:vAlign w:val="center"/>
          </w:tcPr>
          <w:p w14:paraId="08267F31" w14:textId="7C15EA38" w:rsidR="00107397" w:rsidRPr="003D07A2" w:rsidRDefault="0012512C"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c>
          <w:tcPr>
            <w:tcW w:w="1134" w:type="dxa"/>
            <w:vAlign w:val="center"/>
          </w:tcPr>
          <w:p w14:paraId="47EA3C23" w14:textId="71D08319" w:rsidR="00107397" w:rsidRPr="003D07A2" w:rsidRDefault="000C7EA7"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r>
    </w:tbl>
    <w:p w14:paraId="03226144" w14:textId="77777777" w:rsidR="006A3177" w:rsidRDefault="001739AA" w:rsidP="00712DD6">
      <w:pPr>
        <w:spacing w:before="100" w:beforeAutospacing="1" w:after="100" w:afterAutospacing="1"/>
        <w:jc w:val="both"/>
        <w:rPr>
          <w:rFonts w:cstheme="minorHAnsi"/>
        </w:rPr>
      </w:pPr>
      <w:r w:rsidRPr="003D07A2">
        <w:rPr>
          <w:rFonts w:cstheme="minorHAnsi"/>
        </w:rPr>
        <w:lastRenderedPageBreak/>
        <w:t xml:space="preserve">Pārskata </w:t>
      </w:r>
      <w:r w:rsidR="009B4ECD">
        <w:rPr>
          <w:rFonts w:cstheme="minorHAnsi"/>
        </w:rPr>
        <w:t>periodā</w:t>
      </w:r>
      <w:r w:rsidRPr="003D07A2">
        <w:rPr>
          <w:rFonts w:cstheme="minorHAnsi"/>
        </w:rPr>
        <w:t xml:space="preserve"> slimnīcā, salīdzinot ar 20</w:t>
      </w:r>
      <w:r w:rsidR="009B4ECD">
        <w:rPr>
          <w:rFonts w:cstheme="minorHAnsi"/>
        </w:rPr>
        <w:t>2</w:t>
      </w:r>
      <w:r w:rsidR="00D2011F">
        <w:rPr>
          <w:rFonts w:cstheme="minorHAnsi"/>
        </w:rPr>
        <w:t>2</w:t>
      </w:r>
      <w:r w:rsidRPr="003D07A2">
        <w:rPr>
          <w:rFonts w:cstheme="minorHAnsi"/>
        </w:rPr>
        <w:t xml:space="preserve">.gadu, ārstēto pacientu skaits </w:t>
      </w:r>
      <w:r w:rsidR="009B4ECD">
        <w:rPr>
          <w:rFonts w:cstheme="minorHAnsi"/>
        </w:rPr>
        <w:t>psihiatrijā un narkoloģijā kopā</w:t>
      </w:r>
      <w:r w:rsidRPr="003D07A2">
        <w:rPr>
          <w:rFonts w:cstheme="minorHAnsi"/>
        </w:rPr>
        <w:t xml:space="preserve"> </w:t>
      </w:r>
      <w:r w:rsidR="00D951B4">
        <w:rPr>
          <w:rFonts w:cstheme="minorHAnsi"/>
        </w:rPr>
        <w:t xml:space="preserve">palielinājies par </w:t>
      </w:r>
      <w:r w:rsidR="00D2011F">
        <w:rPr>
          <w:rFonts w:cstheme="minorHAnsi"/>
        </w:rPr>
        <w:t>77</w:t>
      </w:r>
      <w:r w:rsidR="00D951B4">
        <w:rPr>
          <w:rFonts w:cstheme="minorHAnsi"/>
        </w:rPr>
        <w:t xml:space="preserve"> pacientiem (</w:t>
      </w:r>
      <w:r w:rsidR="00D2011F">
        <w:rPr>
          <w:rFonts w:cstheme="minorHAnsi"/>
        </w:rPr>
        <w:t xml:space="preserve">2022.gadā, salīdzinot ar 2021.gadu +174 pacienti; </w:t>
      </w:r>
      <w:r w:rsidR="00D951B4">
        <w:rPr>
          <w:rFonts w:cstheme="minorHAnsi"/>
        </w:rPr>
        <w:t xml:space="preserve">2021.gadā, salīdzinot ar 2020.gadu </w:t>
      </w:r>
      <w:r w:rsidRPr="003D07A2">
        <w:rPr>
          <w:rFonts w:cstheme="minorHAnsi"/>
        </w:rPr>
        <w:t>samazināj</w:t>
      </w:r>
      <w:r w:rsidR="00D951B4">
        <w:rPr>
          <w:rFonts w:cstheme="minorHAnsi"/>
        </w:rPr>
        <w:t>ā</w:t>
      </w:r>
      <w:r w:rsidRPr="003D07A2">
        <w:rPr>
          <w:rFonts w:cstheme="minorHAnsi"/>
        </w:rPr>
        <w:t xml:space="preserve">s par </w:t>
      </w:r>
      <w:r w:rsidR="009B4ECD">
        <w:rPr>
          <w:rFonts w:cstheme="minorHAnsi"/>
        </w:rPr>
        <w:t>230</w:t>
      </w:r>
      <w:r w:rsidRPr="003D07A2">
        <w:rPr>
          <w:rFonts w:cstheme="minorHAnsi"/>
        </w:rPr>
        <w:t xml:space="preserve"> pacientiem</w:t>
      </w:r>
      <w:r w:rsidR="00D2011F">
        <w:rPr>
          <w:rFonts w:cstheme="minorHAnsi"/>
        </w:rPr>
        <w:t xml:space="preserve">. </w:t>
      </w:r>
    </w:p>
    <w:p w14:paraId="3E18E962" w14:textId="7FD6D098" w:rsidR="00B63640" w:rsidRDefault="009B4ECD" w:rsidP="00B63640">
      <w:pPr>
        <w:spacing w:after="0"/>
        <w:jc w:val="both"/>
        <w:rPr>
          <w:rFonts w:cstheme="minorHAnsi"/>
        </w:rPr>
      </w:pPr>
      <w:r>
        <w:rPr>
          <w:rFonts w:cstheme="minorHAnsi"/>
        </w:rPr>
        <w:t xml:space="preserve">Pārskata periodā beigās nav </w:t>
      </w:r>
      <w:r w:rsidR="006A3177">
        <w:rPr>
          <w:rFonts w:cstheme="minorHAnsi"/>
        </w:rPr>
        <w:t>apmaksāt</w:t>
      </w:r>
      <w:r w:rsidR="003E11A4">
        <w:rPr>
          <w:rFonts w:cstheme="minorHAnsi"/>
        </w:rPr>
        <w:t>s</w:t>
      </w:r>
      <w:r w:rsidR="004E1F42">
        <w:rPr>
          <w:rFonts w:cstheme="minorHAnsi"/>
        </w:rPr>
        <w:t xml:space="preserve"> 207 745.62 euro par veselības aprūpes pakalpojumu sniegšanu un 15 583 eur</w:t>
      </w:r>
      <w:r w:rsidR="00291B57">
        <w:rPr>
          <w:rFonts w:cstheme="minorHAnsi"/>
        </w:rPr>
        <w:t>o pacientu iemaksa kompensācija par atbrīvotajām pacientu kategorijām</w:t>
      </w:r>
      <w:r w:rsidR="00B63640">
        <w:rPr>
          <w:rFonts w:cstheme="minorHAnsi"/>
        </w:rPr>
        <w:t>:</w:t>
      </w:r>
    </w:p>
    <w:p w14:paraId="06E03889" w14:textId="05E1C615" w:rsidR="00B63640" w:rsidRPr="00B63640" w:rsidRDefault="003E11A4" w:rsidP="00B63640">
      <w:pPr>
        <w:pStyle w:val="Sarakstarindkopa"/>
        <w:numPr>
          <w:ilvl w:val="0"/>
          <w:numId w:val="8"/>
        </w:numPr>
        <w:spacing w:after="0"/>
        <w:jc w:val="both"/>
        <w:rPr>
          <w:rFonts w:cstheme="minorHAnsi"/>
        </w:rPr>
      </w:pPr>
      <w:r w:rsidRPr="00B63640">
        <w:rPr>
          <w:rFonts w:cstheme="minorHAnsi"/>
        </w:rPr>
        <w:t>28 pacientu ārstēšana programmā “P</w:t>
      </w:r>
      <w:r w:rsidR="00970816" w:rsidRPr="00B63640">
        <w:rPr>
          <w:rFonts w:cstheme="minorHAnsi"/>
        </w:rPr>
        <w:t>sihiatriskā palīdzība, tai skaitā pēc tiesas lēmuma</w:t>
      </w:r>
      <w:r w:rsidRPr="00B63640">
        <w:rPr>
          <w:rFonts w:cstheme="minorHAnsi"/>
        </w:rPr>
        <w:t xml:space="preserve"> pieaugušajiem”</w:t>
      </w:r>
      <w:r w:rsidR="00970816" w:rsidRPr="00B63640">
        <w:rPr>
          <w:rFonts w:cstheme="minorHAnsi"/>
        </w:rPr>
        <w:t xml:space="preserve"> </w:t>
      </w:r>
      <w:r w:rsidR="00F27F02" w:rsidRPr="00B63640">
        <w:rPr>
          <w:rFonts w:cstheme="minorHAnsi"/>
        </w:rPr>
        <w:t>( pakalpojuma summa 70 875.84 euro + 7280 euro P</w:t>
      </w:r>
      <w:r w:rsidR="00680124" w:rsidRPr="00B63640">
        <w:rPr>
          <w:rFonts w:cstheme="minorHAnsi"/>
        </w:rPr>
        <w:t xml:space="preserve">IK); </w:t>
      </w:r>
    </w:p>
    <w:p w14:paraId="1F2308F9" w14:textId="77777777" w:rsidR="00B63640" w:rsidRPr="00B63640" w:rsidRDefault="00680124" w:rsidP="00B63640">
      <w:pPr>
        <w:pStyle w:val="Sarakstarindkopa"/>
        <w:numPr>
          <w:ilvl w:val="0"/>
          <w:numId w:val="8"/>
        </w:numPr>
        <w:spacing w:after="0"/>
        <w:jc w:val="both"/>
        <w:rPr>
          <w:rFonts w:cstheme="minorHAnsi"/>
        </w:rPr>
      </w:pPr>
      <w:r w:rsidRPr="00B63640">
        <w:rPr>
          <w:rFonts w:cstheme="minorHAnsi"/>
        </w:rPr>
        <w:t>50 pacientu ārstēšana programmā “</w:t>
      </w:r>
      <w:r w:rsidR="0068225A" w:rsidRPr="00B63640">
        <w:rPr>
          <w:rFonts w:cstheme="minorHAnsi"/>
        </w:rPr>
        <w:t>Psihiatriskā palīdzība bērniem”(97 650 euro +6220 euro);</w:t>
      </w:r>
    </w:p>
    <w:p w14:paraId="2FBE46EE" w14:textId="0CC3E8BB" w:rsidR="00B63640" w:rsidRPr="00B63640" w:rsidRDefault="0068225A" w:rsidP="00B63640">
      <w:pPr>
        <w:pStyle w:val="Sarakstarindkopa"/>
        <w:numPr>
          <w:ilvl w:val="0"/>
          <w:numId w:val="8"/>
        </w:numPr>
        <w:spacing w:after="0"/>
        <w:jc w:val="both"/>
        <w:rPr>
          <w:rFonts w:cstheme="minorHAnsi"/>
        </w:rPr>
      </w:pPr>
      <w:r w:rsidRPr="00B63640">
        <w:rPr>
          <w:rFonts w:cstheme="minorHAnsi"/>
        </w:rPr>
        <w:t>4 pacienti programmā “</w:t>
      </w:r>
      <w:r w:rsidR="00C72347" w:rsidRPr="00B63640">
        <w:rPr>
          <w:rFonts w:cstheme="minorHAnsi"/>
        </w:rPr>
        <w:t>Obligātā narkoloģiskā palīdzība bērniem pēc bāriņtiesas lēmuma (</w:t>
      </w:r>
      <w:r w:rsidR="006173E8" w:rsidRPr="00B63640">
        <w:rPr>
          <w:rFonts w:cstheme="minorHAnsi"/>
        </w:rPr>
        <w:t>9486 euro +</w:t>
      </w:r>
      <w:r w:rsidR="00506372">
        <w:rPr>
          <w:rFonts w:cstheme="minorHAnsi"/>
        </w:rPr>
        <w:t>640</w:t>
      </w:r>
      <w:r w:rsidR="002C30C7" w:rsidRPr="00B63640">
        <w:rPr>
          <w:rFonts w:cstheme="minorHAnsi"/>
        </w:rPr>
        <w:t xml:space="preserve"> euro);</w:t>
      </w:r>
    </w:p>
    <w:p w14:paraId="0C929081" w14:textId="156EFD5D" w:rsidR="001739AA" w:rsidRDefault="002C30C7" w:rsidP="00B63640">
      <w:pPr>
        <w:pStyle w:val="Sarakstarindkopa"/>
        <w:numPr>
          <w:ilvl w:val="0"/>
          <w:numId w:val="8"/>
        </w:numPr>
        <w:spacing w:after="0"/>
        <w:jc w:val="both"/>
        <w:rPr>
          <w:rFonts w:cstheme="minorHAnsi"/>
        </w:rPr>
      </w:pPr>
      <w:r w:rsidRPr="00B63640">
        <w:rPr>
          <w:rFonts w:cstheme="minorHAnsi"/>
        </w:rPr>
        <w:t>3 pacientu ārstēšana programmā “Narkomānu rehabilitācija stacionārā pieaugušajiem”(</w:t>
      </w:r>
      <w:r w:rsidR="00B63640" w:rsidRPr="00B63640">
        <w:rPr>
          <w:rFonts w:cstheme="minorHAnsi"/>
        </w:rPr>
        <w:t xml:space="preserve">24 990.78 euro +483 euro); </w:t>
      </w:r>
    </w:p>
    <w:p w14:paraId="08568E98" w14:textId="671B9EF4" w:rsidR="0012448E" w:rsidRDefault="0012448E" w:rsidP="00B63640">
      <w:pPr>
        <w:pStyle w:val="Sarakstarindkopa"/>
        <w:numPr>
          <w:ilvl w:val="0"/>
          <w:numId w:val="8"/>
        </w:numPr>
        <w:spacing w:after="0"/>
        <w:jc w:val="both"/>
        <w:rPr>
          <w:rFonts w:cstheme="minorHAnsi"/>
        </w:rPr>
      </w:pPr>
      <w:r>
        <w:rPr>
          <w:rFonts w:cstheme="minorHAnsi"/>
        </w:rPr>
        <w:t>2 pacientu ārstēšana programmā “Narkomānu rehabilitācija stacionārā bērniem”(</w:t>
      </w:r>
      <w:r w:rsidR="00767069">
        <w:rPr>
          <w:rFonts w:cstheme="minorHAnsi"/>
        </w:rPr>
        <w:t>4743 euro + 960 euro);</w:t>
      </w:r>
    </w:p>
    <w:p w14:paraId="0F684ABA" w14:textId="4EE4B88B" w:rsidR="00767069" w:rsidRPr="00B63640" w:rsidRDefault="00767069" w:rsidP="00B63640">
      <w:pPr>
        <w:pStyle w:val="Sarakstarindkopa"/>
        <w:numPr>
          <w:ilvl w:val="0"/>
          <w:numId w:val="8"/>
        </w:numPr>
        <w:spacing w:after="0"/>
        <w:jc w:val="both"/>
        <w:rPr>
          <w:rFonts w:cstheme="minorHAnsi"/>
        </w:rPr>
      </w:pPr>
      <w:r>
        <w:rPr>
          <w:rFonts w:cstheme="minorHAnsi"/>
        </w:rPr>
        <w:t>1 pacienta ārstēšana Minesotas programmā (2026.62 euro +84 euro)</w:t>
      </w:r>
    </w:p>
    <w:p w14:paraId="3A5872E4" w14:textId="5BF2278D" w:rsidR="0010757F" w:rsidRPr="003D07A2" w:rsidRDefault="009430DE" w:rsidP="00712DD6">
      <w:pPr>
        <w:spacing w:before="100" w:beforeAutospacing="1" w:after="100" w:afterAutospacing="1"/>
        <w:jc w:val="both"/>
        <w:rPr>
          <w:rFonts w:cstheme="minorHAnsi"/>
        </w:rPr>
      </w:pPr>
      <w:r w:rsidRPr="003D07A2">
        <w:rPr>
          <w:rFonts w:cstheme="minorHAnsi"/>
        </w:rPr>
        <w:t>Pārskata periodā Slimnīcai par sekundāro ambulatoro veselības aprūpes pakalpojumu sniegšanu līgumā ar Nacionālo veselības dienestu noteikta tāmes finansējums par psihiatrijas (3 slodzes psihiatrs, 0.5 slodzes bērnu psihiatrs), psihologa/ psihoterapeita (</w:t>
      </w:r>
      <w:r w:rsidR="003328C9" w:rsidRPr="003D07A2">
        <w:rPr>
          <w:rFonts w:cstheme="minorHAnsi"/>
        </w:rPr>
        <w:t>0.</w:t>
      </w:r>
      <w:r w:rsidR="00AE4828">
        <w:rPr>
          <w:rFonts w:cstheme="minorHAnsi"/>
        </w:rPr>
        <w:t>2</w:t>
      </w:r>
      <w:r w:rsidR="003328C9" w:rsidRPr="003D07A2">
        <w:rPr>
          <w:rFonts w:cstheme="minorHAnsi"/>
        </w:rPr>
        <w:t>5</w:t>
      </w:r>
      <w:r w:rsidRPr="003D07A2">
        <w:rPr>
          <w:rFonts w:cstheme="minorHAnsi"/>
        </w:rPr>
        <w:t xml:space="preserve"> slodze), psihiatrijas māsas</w:t>
      </w:r>
      <w:r w:rsidR="00E447B7">
        <w:rPr>
          <w:rFonts w:cstheme="minorHAnsi"/>
        </w:rPr>
        <w:t xml:space="preserve"> </w:t>
      </w:r>
      <w:r w:rsidRPr="003D07A2">
        <w:rPr>
          <w:rFonts w:cstheme="minorHAnsi"/>
        </w:rPr>
        <w:t>(4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slodze) kabinetiem. Metadona aizvietojošās terapijas kabinetam apmaksātas 1.75 māsas</w:t>
      </w:r>
      <w:r w:rsidR="00C06C05" w:rsidRPr="003D07A2">
        <w:rPr>
          <w:rFonts w:cstheme="minorHAnsi"/>
        </w:rPr>
        <w:t xml:space="preserve"> </w:t>
      </w:r>
      <w:r w:rsidRPr="003D07A2">
        <w:rPr>
          <w:rFonts w:cstheme="minorHAnsi"/>
        </w:rPr>
        <w:t>slodzes un 1 psihologa slodze</w:t>
      </w:r>
      <w:r w:rsidR="00C271D5">
        <w:rPr>
          <w:rFonts w:cstheme="minorHAnsi"/>
        </w:rPr>
        <w:t>.</w:t>
      </w:r>
    </w:p>
    <w:p w14:paraId="3E14BA78" w14:textId="297E99F3"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AVA kvotēto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D96B3A">
        <w:trPr>
          <w:trHeight w:val="1296"/>
          <w:jc w:val="center"/>
        </w:trPr>
        <w:tc>
          <w:tcPr>
            <w:tcW w:w="219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t>Pakalpojuma veids</w:t>
            </w:r>
          </w:p>
        </w:tc>
        <w:tc>
          <w:tcPr>
            <w:tcW w:w="1991" w:type="dxa"/>
            <w:vAlign w:val="center"/>
          </w:tcPr>
          <w:p w14:paraId="5BE58F38" w14:textId="66E1ECAE"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w:t>
            </w:r>
            <w:r w:rsidR="00302B00">
              <w:rPr>
                <w:rFonts w:eastAsia="Times New Roman" w:cstheme="minorHAnsi"/>
                <w:color w:val="000000"/>
                <w:sz w:val="20"/>
                <w:szCs w:val="20"/>
                <w:lang w:eastAsia="lv-LV"/>
              </w:rPr>
              <w:t>2</w:t>
            </w:r>
            <w:r w:rsidRPr="00271864">
              <w:rPr>
                <w:rFonts w:eastAsia="Times New Roman" w:cstheme="minorHAnsi"/>
                <w:color w:val="000000"/>
                <w:sz w:val="20"/>
                <w:szCs w:val="20"/>
                <w:lang w:eastAsia="lv-LV"/>
              </w:rPr>
              <w:t>.gadā</w:t>
            </w:r>
          </w:p>
        </w:tc>
        <w:tc>
          <w:tcPr>
            <w:tcW w:w="2116" w:type="dxa"/>
            <w:vAlign w:val="center"/>
          </w:tcPr>
          <w:p w14:paraId="10B42CB1" w14:textId="5057DC09"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w:t>
            </w:r>
            <w:r w:rsidR="00302B00">
              <w:rPr>
                <w:rFonts w:eastAsia="Times New Roman" w:cstheme="minorHAnsi"/>
                <w:color w:val="000000"/>
                <w:sz w:val="20"/>
                <w:szCs w:val="20"/>
                <w:lang w:eastAsia="lv-LV"/>
              </w:rPr>
              <w:t>3</w:t>
            </w:r>
            <w:r w:rsidRPr="00271864">
              <w:rPr>
                <w:rFonts w:eastAsia="Times New Roman" w:cstheme="minorHAnsi"/>
                <w:color w:val="000000"/>
                <w:sz w:val="20"/>
                <w:szCs w:val="20"/>
                <w:lang w:eastAsia="lv-LV"/>
              </w:rPr>
              <w:t>.gadā</w:t>
            </w:r>
          </w:p>
        </w:tc>
        <w:tc>
          <w:tcPr>
            <w:tcW w:w="2116" w:type="dxa"/>
            <w:vAlign w:val="center"/>
          </w:tcPr>
          <w:p w14:paraId="6B233181" w14:textId="22051D68"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w:t>
            </w:r>
            <w:r w:rsidR="00302B00">
              <w:rPr>
                <w:rFonts w:eastAsia="Times New Roman" w:cstheme="minorHAnsi"/>
                <w:color w:val="000000"/>
                <w:sz w:val="20"/>
                <w:szCs w:val="20"/>
                <w:lang w:eastAsia="lv-LV"/>
              </w:rPr>
              <w:t>3</w:t>
            </w:r>
            <w:r w:rsidRPr="00271864">
              <w:rPr>
                <w:rFonts w:eastAsia="Times New Roman" w:cstheme="minorHAnsi"/>
                <w:color w:val="000000"/>
                <w:sz w:val="20"/>
                <w:szCs w:val="20"/>
                <w:lang w:eastAsia="lv-LV"/>
              </w:rPr>
              <w:t>.gadā</w:t>
            </w:r>
          </w:p>
        </w:tc>
        <w:tc>
          <w:tcPr>
            <w:tcW w:w="1073" w:type="dxa"/>
            <w:vAlign w:val="center"/>
          </w:tcPr>
          <w:p w14:paraId="39A49DA6" w14:textId="477795F3"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w:t>
            </w:r>
            <w:r w:rsidR="00302B00">
              <w:rPr>
                <w:rFonts w:cstheme="minorHAnsi"/>
                <w:sz w:val="20"/>
                <w:szCs w:val="20"/>
              </w:rPr>
              <w:t>2</w:t>
            </w:r>
            <w:r w:rsidRPr="00271864">
              <w:rPr>
                <w:rFonts w:cstheme="minorHAnsi"/>
                <w:sz w:val="20"/>
                <w:szCs w:val="20"/>
              </w:rPr>
              <w:t>.gadu</w:t>
            </w:r>
          </w:p>
        </w:tc>
      </w:tr>
      <w:tr w:rsidR="00302B00" w:rsidRPr="00271864" w14:paraId="615A0764" w14:textId="7B40AFBC" w:rsidTr="00D96B3A">
        <w:trPr>
          <w:trHeight w:val="420"/>
          <w:jc w:val="center"/>
        </w:trPr>
        <w:tc>
          <w:tcPr>
            <w:tcW w:w="2197" w:type="dxa"/>
          </w:tcPr>
          <w:p w14:paraId="67F91D6D" w14:textId="77777777" w:rsidR="00302B00" w:rsidRPr="00271864" w:rsidRDefault="00302B00" w:rsidP="00302B00">
            <w:pPr>
              <w:rPr>
                <w:rFonts w:cstheme="minorHAnsi"/>
                <w:sz w:val="20"/>
                <w:szCs w:val="20"/>
              </w:rPr>
            </w:pPr>
            <w:r w:rsidRPr="00271864">
              <w:rPr>
                <w:rFonts w:cstheme="minorHAnsi"/>
                <w:sz w:val="20"/>
                <w:szCs w:val="20"/>
              </w:rPr>
              <w:t>Neiroelektrofizioloģiskie funkcionālie izmeklējumi</w:t>
            </w:r>
          </w:p>
        </w:tc>
        <w:tc>
          <w:tcPr>
            <w:tcW w:w="1991" w:type="dxa"/>
            <w:vAlign w:val="center"/>
          </w:tcPr>
          <w:p w14:paraId="5AEAC4CC" w14:textId="7E346FC6" w:rsidR="00302B00" w:rsidRPr="00271864" w:rsidRDefault="00302B00" w:rsidP="00302B00">
            <w:pPr>
              <w:jc w:val="center"/>
              <w:rPr>
                <w:rFonts w:cstheme="minorHAnsi"/>
                <w:sz w:val="20"/>
                <w:szCs w:val="20"/>
              </w:rPr>
            </w:pPr>
            <w:r>
              <w:rPr>
                <w:rFonts w:cstheme="minorHAnsi"/>
                <w:sz w:val="20"/>
                <w:szCs w:val="20"/>
              </w:rPr>
              <w:t>137</w:t>
            </w:r>
          </w:p>
        </w:tc>
        <w:tc>
          <w:tcPr>
            <w:tcW w:w="2116" w:type="dxa"/>
            <w:vAlign w:val="center"/>
          </w:tcPr>
          <w:p w14:paraId="7B8CBD04" w14:textId="62A71A05" w:rsidR="00302B00" w:rsidRPr="00271864" w:rsidRDefault="00555A61" w:rsidP="00302B00">
            <w:pPr>
              <w:jc w:val="center"/>
              <w:rPr>
                <w:rFonts w:cstheme="minorHAnsi"/>
                <w:sz w:val="20"/>
                <w:szCs w:val="20"/>
              </w:rPr>
            </w:pPr>
            <w:r>
              <w:rPr>
                <w:rFonts w:cstheme="minorHAnsi"/>
                <w:sz w:val="20"/>
                <w:szCs w:val="20"/>
              </w:rPr>
              <w:t>130</w:t>
            </w:r>
          </w:p>
        </w:tc>
        <w:tc>
          <w:tcPr>
            <w:tcW w:w="2116" w:type="dxa"/>
            <w:vAlign w:val="center"/>
          </w:tcPr>
          <w:p w14:paraId="613C4CC5" w14:textId="48B540F7" w:rsidR="00302B00" w:rsidRPr="00271864" w:rsidRDefault="0039494F" w:rsidP="00302B00">
            <w:pPr>
              <w:jc w:val="center"/>
              <w:rPr>
                <w:rFonts w:cstheme="minorHAnsi"/>
                <w:sz w:val="20"/>
                <w:szCs w:val="20"/>
              </w:rPr>
            </w:pPr>
            <w:r>
              <w:rPr>
                <w:rFonts w:cstheme="minorHAnsi"/>
                <w:sz w:val="20"/>
                <w:szCs w:val="20"/>
              </w:rPr>
              <w:t>126</w:t>
            </w:r>
          </w:p>
        </w:tc>
        <w:tc>
          <w:tcPr>
            <w:tcW w:w="1073" w:type="dxa"/>
            <w:vAlign w:val="center"/>
          </w:tcPr>
          <w:p w14:paraId="7BA2B59B" w14:textId="2E623807" w:rsidR="00302B00" w:rsidRPr="00271864" w:rsidRDefault="00D877B1" w:rsidP="00302B00">
            <w:pPr>
              <w:jc w:val="center"/>
              <w:rPr>
                <w:rFonts w:cstheme="minorHAnsi"/>
                <w:sz w:val="20"/>
                <w:szCs w:val="20"/>
              </w:rPr>
            </w:pPr>
            <w:r>
              <w:rPr>
                <w:rFonts w:cstheme="minorHAnsi"/>
                <w:sz w:val="20"/>
                <w:szCs w:val="20"/>
              </w:rPr>
              <w:t>-11</w:t>
            </w:r>
          </w:p>
        </w:tc>
      </w:tr>
      <w:tr w:rsidR="00302B00" w:rsidRPr="00271864" w14:paraId="1AE3E552" w14:textId="2C1DF452" w:rsidTr="00D96B3A">
        <w:trPr>
          <w:trHeight w:val="647"/>
          <w:jc w:val="center"/>
        </w:trPr>
        <w:tc>
          <w:tcPr>
            <w:tcW w:w="2197" w:type="dxa"/>
          </w:tcPr>
          <w:p w14:paraId="55DA81C3" w14:textId="77777777" w:rsidR="00302B00" w:rsidRPr="00271864" w:rsidRDefault="00302B00" w:rsidP="00302B00">
            <w:pPr>
              <w:rPr>
                <w:rFonts w:cstheme="minorHAnsi"/>
                <w:sz w:val="20"/>
                <w:szCs w:val="20"/>
              </w:rPr>
            </w:pPr>
            <w:r w:rsidRPr="00271864">
              <w:rPr>
                <w:rFonts w:cstheme="minorHAnsi"/>
                <w:sz w:val="20"/>
                <w:szCs w:val="20"/>
              </w:rPr>
              <w:t>Psihiatrisko slimnieku ārstēšana psihiatriskā profila dienas stacionārā</w:t>
            </w:r>
          </w:p>
        </w:tc>
        <w:tc>
          <w:tcPr>
            <w:tcW w:w="1991" w:type="dxa"/>
            <w:vAlign w:val="center"/>
          </w:tcPr>
          <w:p w14:paraId="3AB0E809" w14:textId="69E8932C" w:rsidR="00302B00" w:rsidRPr="00271864" w:rsidRDefault="00302B00" w:rsidP="00302B00">
            <w:pPr>
              <w:jc w:val="center"/>
              <w:rPr>
                <w:rFonts w:cstheme="minorHAnsi"/>
                <w:sz w:val="20"/>
                <w:szCs w:val="20"/>
              </w:rPr>
            </w:pPr>
            <w:r>
              <w:rPr>
                <w:rFonts w:cstheme="minorHAnsi"/>
                <w:sz w:val="20"/>
                <w:szCs w:val="20"/>
              </w:rPr>
              <w:t>673</w:t>
            </w:r>
          </w:p>
        </w:tc>
        <w:tc>
          <w:tcPr>
            <w:tcW w:w="2116" w:type="dxa"/>
            <w:vAlign w:val="center"/>
          </w:tcPr>
          <w:p w14:paraId="2FC28513" w14:textId="0E756F5A" w:rsidR="00302B00" w:rsidRPr="00271864" w:rsidRDefault="00D90BCE" w:rsidP="00302B00">
            <w:pPr>
              <w:jc w:val="center"/>
              <w:rPr>
                <w:rFonts w:cstheme="minorHAnsi"/>
                <w:sz w:val="20"/>
                <w:szCs w:val="20"/>
              </w:rPr>
            </w:pPr>
            <w:r>
              <w:rPr>
                <w:rFonts w:cstheme="minorHAnsi"/>
                <w:sz w:val="20"/>
                <w:szCs w:val="20"/>
              </w:rPr>
              <w:t>629</w:t>
            </w:r>
          </w:p>
        </w:tc>
        <w:tc>
          <w:tcPr>
            <w:tcW w:w="2116" w:type="dxa"/>
            <w:vAlign w:val="center"/>
          </w:tcPr>
          <w:p w14:paraId="547801A4" w14:textId="2E2AF6C4" w:rsidR="00302B00" w:rsidRPr="00271864" w:rsidRDefault="0039494F" w:rsidP="00302B00">
            <w:pPr>
              <w:jc w:val="center"/>
              <w:rPr>
                <w:rFonts w:cstheme="minorHAnsi"/>
                <w:sz w:val="20"/>
                <w:szCs w:val="20"/>
              </w:rPr>
            </w:pPr>
            <w:r>
              <w:rPr>
                <w:rFonts w:cstheme="minorHAnsi"/>
                <w:sz w:val="20"/>
                <w:szCs w:val="20"/>
              </w:rPr>
              <w:t>794</w:t>
            </w:r>
          </w:p>
        </w:tc>
        <w:tc>
          <w:tcPr>
            <w:tcW w:w="1073" w:type="dxa"/>
            <w:vAlign w:val="center"/>
          </w:tcPr>
          <w:p w14:paraId="1432AEC1" w14:textId="2EC338F9" w:rsidR="00302B00" w:rsidRPr="00271864" w:rsidRDefault="0039494F" w:rsidP="00302B00">
            <w:pPr>
              <w:jc w:val="center"/>
              <w:rPr>
                <w:rFonts w:cstheme="minorHAnsi"/>
                <w:sz w:val="20"/>
                <w:szCs w:val="20"/>
              </w:rPr>
            </w:pPr>
            <w:r>
              <w:rPr>
                <w:rFonts w:cstheme="minorHAnsi"/>
                <w:sz w:val="20"/>
                <w:szCs w:val="20"/>
              </w:rPr>
              <w:t>+121</w:t>
            </w:r>
          </w:p>
        </w:tc>
      </w:tr>
      <w:tr w:rsidR="00302B00" w:rsidRPr="00271864" w14:paraId="5206C17A" w14:textId="7766E818" w:rsidTr="00D96B3A">
        <w:trPr>
          <w:trHeight w:val="363"/>
          <w:jc w:val="center"/>
        </w:trPr>
        <w:tc>
          <w:tcPr>
            <w:tcW w:w="2197" w:type="dxa"/>
          </w:tcPr>
          <w:p w14:paraId="33E12E1E" w14:textId="77777777" w:rsidR="00302B00" w:rsidRPr="00271864" w:rsidRDefault="00302B00" w:rsidP="00302B00">
            <w:pPr>
              <w:rPr>
                <w:rFonts w:cstheme="minorHAnsi"/>
                <w:sz w:val="20"/>
                <w:szCs w:val="20"/>
              </w:rPr>
            </w:pPr>
            <w:r w:rsidRPr="00271864">
              <w:rPr>
                <w:rFonts w:cstheme="minorHAnsi"/>
                <w:sz w:val="20"/>
                <w:szCs w:val="20"/>
              </w:rPr>
              <w:t>Narkologa pakalpojumi</w:t>
            </w:r>
          </w:p>
        </w:tc>
        <w:tc>
          <w:tcPr>
            <w:tcW w:w="1991" w:type="dxa"/>
            <w:vAlign w:val="center"/>
          </w:tcPr>
          <w:p w14:paraId="60B2F8A2" w14:textId="610A5B72" w:rsidR="00302B00" w:rsidRPr="00271864" w:rsidRDefault="00302B00" w:rsidP="00302B00">
            <w:pPr>
              <w:jc w:val="center"/>
              <w:rPr>
                <w:rFonts w:cstheme="minorHAnsi"/>
                <w:sz w:val="20"/>
                <w:szCs w:val="20"/>
              </w:rPr>
            </w:pPr>
            <w:r>
              <w:rPr>
                <w:rFonts w:cstheme="minorHAnsi"/>
                <w:sz w:val="20"/>
                <w:szCs w:val="20"/>
              </w:rPr>
              <w:t>1381</w:t>
            </w:r>
          </w:p>
        </w:tc>
        <w:tc>
          <w:tcPr>
            <w:tcW w:w="2116" w:type="dxa"/>
            <w:vAlign w:val="center"/>
          </w:tcPr>
          <w:p w14:paraId="4CF9407C" w14:textId="6EBBAB33" w:rsidR="00302B00" w:rsidRPr="00271864" w:rsidRDefault="00D90BCE" w:rsidP="00302B00">
            <w:pPr>
              <w:jc w:val="center"/>
              <w:rPr>
                <w:rFonts w:cstheme="minorHAnsi"/>
                <w:sz w:val="20"/>
                <w:szCs w:val="20"/>
              </w:rPr>
            </w:pPr>
            <w:r>
              <w:rPr>
                <w:rFonts w:cstheme="minorHAnsi"/>
                <w:sz w:val="20"/>
                <w:szCs w:val="20"/>
              </w:rPr>
              <w:t>1298</w:t>
            </w:r>
          </w:p>
        </w:tc>
        <w:tc>
          <w:tcPr>
            <w:tcW w:w="2116" w:type="dxa"/>
            <w:vAlign w:val="center"/>
          </w:tcPr>
          <w:p w14:paraId="112BA287" w14:textId="3FA3D445" w:rsidR="00302B00" w:rsidRPr="00271864" w:rsidRDefault="00A65C36" w:rsidP="00302B00">
            <w:pPr>
              <w:jc w:val="center"/>
              <w:rPr>
                <w:rFonts w:cstheme="minorHAnsi"/>
                <w:sz w:val="20"/>
                <w:szCs w:val="20"/>
              </w:rPr>
            </w:pPr>
            <w:r>
              <w:rPr>
                <w:rFonts w:cstheme="minorHAnsi"/>
                <w:sz w:val="20"/>
                <w:szCs w:val="20"/>
              </w:rPr>
              <w:t>1341</w:t>
            </w:r>
          </w:p>
        </w:tc>
        <w:tc>
          <w:tcPr>
            <w:tcW w:w="1073" w:type="dxa"/>
            <w:vAlign w:val="center"/>
          </w:tcPr>
          <w:p w14:paraId="41E2D396" w14:textId="03AB63AA" w:rsidR="00302B00" w:rsidRPr="00271864" w:rsidRDefault="00A65C36" w:rsidP="00302B00">
            <w:pPr>
              <w:jc w:val="center"/>
              <w:rPr>
                <w:rFonts w:cstheme="minorHAnsi"/>
                <w:sz w:val="20"/>
                <w:szCs w:val="20"/>
              </w:rPr>
            </w:pPr>
            <w:r>
              <w:rPr>
                <w:rFonts w:cstheme="minorHAnsi"/>
                <w:sz w:val="20"/>
                <w:szCs w:val="20"/>
              </w:rPr>
              <w:t>-40</w:t>
            </w:r>
          </w:p>
        </w:tc>
      </w:tr>
      <w:tr w:rsidR="00302B00" w:rsidRPr="00271864" w14:paraId="42C472AB" w14:textId="35DBE681" w:rsidTr="00D96B3A">
        <w:trPr>
          <w:trHeight w:val="260"/>
          <w:jc w:val="center"/>
        </w:trPr>
        <w:tc>
          <w:tcPr>
            <w:tcW w:w="2197" w:type="dxa"/>
          </w:tcPr>
          <w:p w14:paraId="68393425" w14:textId="77777777" w:rsidR="00302B00" w:rsidRPr="00271864" w:rsidRDefault="00302B00" w:rsidP="00302B00">
            <w:pPr>
              <w:rPr>
                <w:rFonts w:cstheme="minorHAnsi"/>
                <w:sz w:val="20"/>
                <w:szCs w:val="20"/>
              </w:rPr>
            </w:pPr>
            <w:r w:rsidRPr="00271864">
              <w:rPr>
                <w:rFonts w:cstheme="minorHAnsi"/>
                <w:sz w:val="20"/>
                <w:szCs w:val="20"/>
              </w:rPr>
              <w:t>Psihiatra pakalpojumi</w:t>
            </w:r>
          </w:p>
        </w:tc>
        <w:tc>
          <w:tcPr>
            <w:tcW w:w="1991" w:type="dxa"/>
            <w:vAlign w:val="center"/>
          </w:tcPr>
          <w:p w14:paraId="75924C93" w14:textId="25DA0615" w:rsidR="00302B00" w:rsidRPr="00271864" w:rsidRDefault="00302B00" w:rsidP="00302B00">
            <w:pPr>
              <w:jc w:val="center"/>
              <w:rPr>
                <w:rFonts w:cstheme="minorHAnsi"/>
                <w:sz w:val="20"/>
                <w:szCs w:val="20"/>
              </w:rPr>
            </w:pPr>
            <w:r>
              <w:rPr>
                <w:rFonts w:cstheme="minorHAnsi"/>
                <w:sz w:val="20"/>
                <w:szCs w:val="20"/>
              </w:rPr>
              <w:t>3285</w:t>
            </w:r>
          </w:p>
        </w:tc>
        <w:tc>
          <w:tcPr>
            <w:tcW w:w="2116" w:type="dxa"/>
            <w:vAlign w:val="center"/>
          </w:tcPr>
          <w:p w14:paraId="08909B24" w14:textId="243A78ED" w:rsidR="00302B00" w:rsidRPr="00271864" w:rsidRDefault="00302B00" w:rsidP="00302B00">
            <w:pPr>
              <w:jc w:val="center"/>
              <w:rPr>
                <w:rFonts w:cstheme="minorHAnsi"/>
                <w:sz w:val="20"/>
                <w:szCs w:val="20"/>
              </w:rPr>
            </w:pPr>
            <w:r>
              <w:rPr>
                <w:rFonts w:cstheme="minorHAnsi"/>
                <w:sz w:val="20"/>
                <w:szCs w:val="20"/>
              </w:rPr>
              <w:t>*tāmes finansējums</w:t>
            </w:r>
          </w:p>
        </w:tc>
        <w:tc>
          <w:tcPr>
            <w:tcW w:w="2116" w:type="dxa"/>
            <w:vAlign w:val="center"/>
          </w:tcPr>
          <w:p w14:paraId="2E9C71BF" w14:textId="3BD3D476" w:rsidR="00302B00" w:rsidRPr="00271864" w:rsidRDefault="00A1736B" w:rsidP="00302B00">
            <w:pPr>
              <w:jc w:val="center"/>
              <w:rPr>
                <w:rFonts w:cstheme="minorHAnsi"/>
                <w:sz w:val="20"/>
                <w:szCs w:val="20"/>
              </w:rPr>
            </w:pPr>
            <w:r>
              <w:rPr>
                <w:rFonts w:cstheme="minorHAnsi"/>
                <w:sz w:val="20"/>
                <w:szCs w:val="20"/>
              </w:rPr>
              <w:t>3158</w:t>
            </w:r>
          </w:p>
        </w:tc>
        <w:tc>
          <w:tcPr>
            <w:tcW w:w="1073" w:type="dxa"/>
            <w:vAlign w:val="center"/>
          </w:tcPr>
          <w:p w14:paraId="5026A181" w14:textId="53563FF6" w:rsidR="00302B00" w:rsidRPr="00271864" w:rsidRDefault="00A65C36" w:rsidP="00302B00">
            <w:pPr>
              <w:jc w:val="center"/>
              <w:rPr>
                <w:rFonts w:cstheme="minorHAnsi"/>
                <w:sz w:val="20"/>
                <w:szCs w:val="20"/>
              </w:rPr>
            </w:pPr>
            <w:r>
              <w:rPr>
                <w:rFonts w:cstheme="minorHAnsi"/>
                <w:sz w:val="20"/>
                <w:szCs w:val="20"/>
              </w:rPr>
              <w:t>-117</w:t>
            </w:r>
          </w:p>
        </w:tc>
      </w:tr>
      <w:tr w:rsidR="00302B00" w:rsidRPr="00271864" w14:paraId="25089A1F" w14:textId="750EA601" w:rsidTr="00D96B3A">
        <w:trPr>
          <w:trHeight w:val="420"/>
          <w:jc w:val="center"/>
        </w:trPr>
        <w:tc>
          <w:tcPr>
            <w:tcW w:w="2197" w:type="dxa"/>
          </w:tcPr>
          <w:p w14:paraId="056FF280" w14:textId="77777777" w:rsidR="00302B00" w:rsidRPr="00271864" w:rsidRDefault="00302B00" w:rsidP="00302B00">
            <w:pPr>
              <w:rPr>
                <w:rFonts w:cstheme="minorHAnsi"/>
                <w:sz w:val="20"/>
                <w:szCs w:val="20"/>
              </w:rPr>
            </w:pPr>
            <w:r w:rsidRPr="00271864">
              <w:rPr>
                <w:rFonts w:cstheme="minorHAnsi"/>
                <w:sz w:val="20"/>
                <w:szCs w:val="20"/>
              </w:rPr>
              <w:t>Tiesu psihiatriskā un psiholoģiskā ekspertīze</w:t>
            </w:r>
          </w:p>
        </w:tc>
        <w:tc>
          <w:tcPr>
            <w:tcW w:w="1991" w:type="dxa"/>
            <w:vAlign w:val="center"/>
          </w:tcPr>
          <w:p w14:paraId="32B6CCF3" w14:textId="772054E0" w:rsidR="00302B00" w:rsidRPr="00271864" w:rsidRDefault="00302B00" w:rsidP="00302B00">
            <w:pPr>
              <w:jc w:val="center"/>
              <w:rPr>
                <w:rFonts w:cstheme="minorHAnsi"/>
                <w:sz w:val="20"/>
                <w:szCs w:val="20"/>
              </w:rPr>
            </w:pPr>
            <w:r>
              <w:rPr>
                <w:rFonts w:cstheme="minorHAnsi"/>
                <w:sz w:val="20"/>
                <w:szCs w:val="20"/>
              </w:rPr>
              <w:t>24</w:t>
            </w:r>
          </w:p>
        </w:tc>
        <w:tc>
          <w:tcPr>
            <w:tcW w:w="2116" w:type="dxa"/>
            <w:vAlign w:val="center"/>
          </w:tcPr>
          <w:p w14:paraId="29E165D0" w14:textId="4776AD99" w:rsidR="00302B00" w:rsidRPr="00271864" w:rsidRDefault="00D90BCE" w:rsidP="00302B00">
            <w:pPr>
              <w:jc w:val="center"/>
              <w:rPr>
                <w:rFonts w:cstheme="minorHAnsi"/>
                <w:sz w:val="20"/>
                <w:szCs w:val="20"/>
              </w:rPr>
            </w:pPr>
            <w:r>
              <w:rPr>
                <w:rFonts w:cstheme="minorHAnsi"/>
                <w:sz w:val="20"/>
                <w:szCs w:val="20"/>
              </w:rPr>
              <w:t>20</w:t>
            </w:r>
          </w:p>
        </w:tc>
        <w:tc>
          <w:tcPr>
            <w:tcW w:w="2116" w:type="dxa"/>
            <w:vAlign w:val="center"/>
          </w:tcPr>
          <w:p w14:paraId="470BA6BE" w14:textId="5E92E935" w:rsidR="00302B00" w:rsidRPr="00271864" w:rsidRDefault="00A1736B" w:rsidP="00302B00">
            <w:pPr>
              <w:jc w:val="center"/>
              <w:rPr>
                <w:rFonts w:cstheme="minorHAnsi"/>
                <w:sz w:val="20"/>
                <w:szCs w:val="20"/>
              </w:rPr>
            </w:pPr>
            <w:r>
              <w:rPr>
                <w:rFonts w:cstheme="minorHAnsi"/>
                <w:sz w:val="20"/>
                <w:szCs w:val="20"/>
              </w:rPr>
              <w:t>23</w:t>
            </w:r>
          </w:p>
        </w:tc>
        <w:tc>
          <w:tcPr>
            <w:tcW w:w="1073" w:type="dxa"/>
            <w:vAlign w:val="center"/>
          </w:tcPr>
          <w:p w14:paraId="4E0373E4" w14:textId="17FE24CC" w:rsidR="00302B00" w:rsidRPr="00271864" w:rsidRDefault="00A1736B" w:rsidP="00302B00">
            <w:pPr>
              <w:jc w:val="center"/>
              <w:rPr>
                <w:rFonts w:cstheme="minorHAnsi"/>
                <w:sz w:val="20"/>
                <w:szCs w:val="20"/>
              </w:rPr>
            </w:pPr>
            <w:r>
              <w:rPr>
                <w:rFonts w:cstheme="minorHAnsi"/>
                <w:sz w:val="20"/>
                <w:szCs w:val="20"/>
              </w:rPr>
              <w:t>-1</w:t>
            </w:r>
          </w:p>
        </w:tc>
      </w:tr>
      <w:tr w:rsidR="00302B00" w:rsidRPr="00271864" w14:paraId="7BBDA805" w14:textId="7581D1A9" w:rsidTr="00D96B3A">
        <w:trPr>
          <w:trHeight w:val="210"/>
          <w:jc w:val="center"/>
        </w:trPr>
        <w:tc>
          <w:tcPr>
            <w:tcW w:w="2197" w:type="dxa"/>
          </w:tcPr>
          <w:p w14:paraId="560D5B98" w14:textId="77777777" w:rsidR="00302B00" w:rsidRPr="00271864" w:rsidRDefault="00302B00" w:rsidP="00302B00">
            <w:pPr>
              <w:rPr>
                <w:rFonts w:cstheme="minorHAnsi"/>
                <w:sz w:val="20"/>
                <w:szCs w:val="20"/>
              </w:rPr>
            </w:pPr>
            <w:r w:rsidRPr="00271864">
              <w:rPr>
                <w:rFonts w:cstheme="minorHAnsi"/>
                <w:sz w:val="20"/>
                <w:szCs w:val="20"/>
              </w:rPr>
              <w:lastRenderedPageBreak/>
              <w:t>Metadona aizvietojoša terapija</w:t>
            </w:r>
          </w:p>
        </w:tc>
        <w:tc>
          <w:tcPr>
            <w:tcW w:w="1991" w:type="dxa"/>
            <w:vAlign w:val="center"/>
          </w:tcPr>
          <w:p w14:paraId="597FC93C" w14:textId="77B47807" w:rsidR="00302B00" w:rsidRPr="00271864" w:rsidRDefault="00302B00" w:rsidP="00302B00">
            <w:pPr>
              <w:jc w:val="center"/>
              <w:rPr>
                <w:rFonts w:cstheme="minorHAnsi"/>
                <w:sz w:val="20"/>
                <w:szCs w:val="20"/>
              </w:rPr>
            </w:pPr>
            <w:r>
              <w:rPr>
                <w:rFonts w:cstheme="minorHAnsi"/>
                <w:sz w:val="20"/>
                <w:szCs w:val="20"/>
              </w:rPr>
              <w:t>5409</w:t>
            </w:r>
          </w:p>
        </w:tc>
        <w:tc>
          <w:tcPr>
            <w:tcW w:w="2116" w:type="dxa"/>
            <w:vAlign w:val="center"/>
          </w:tcPr>
          <w:p w14:paraId="1657D5AC" w14:textId="43B22616" w:rsidR="00302B00" w:rsidRPr="00271864" w:rsidRDefault="007B43FE" w:rsidP="00302B00">
            <w:pPr>
              <w:jc w:val="center"/>
              <w:rPr>
                <w:rFonts w:cstheme="minorHAnsi"/>
                <w:sz w:val="20"/>
                <w:szCs w:val="20"/>
              </w:rPr>
            </w:pPr>
            <w:r>
              <w:rPr>
                <w:rFonts w:cstheme="minorHAnsi"/>
                <w:sz w:val="20"/>
                <w:szCs w:val="20"/>
              </w:rPr>
              <w:t>5550</w:t>
            </w:r>
          </w:p>
        </w:tc>
        <w:tc>
          <w:tcPr>
            <w:tcW w:w="2116" w:type="dxa"/>
            <w:vAlign w:val="center"/>
          </w:tcPr>
          <w:p w14:paraId="42ACD6EA" w14:textId="1662B8E4" w:rsidR="00302B00" w:rsidRPr="00271864" w:rsidRDefault="001940E4" w:rsidP="00302B00">
            <w:pPr>
              <w:jc w:val="center"/>
              <w:rPr>
                <w:rFonts w:cstheme="minorHAnsi"/>
                <w:sz w:val="20"/>
                <w:szCs w:val="20"/>
              </w:rPr>
            </w:pPr>
            <w:r>
              <w:rPr>
                <w:rFonts w:cstheme="minorHAnsi"/>
                <w:sz w:val="20"/>
                <w:szCs w:val="20"/>
              </w:rPr>
              <w:t>4900</w:t>
            </w:r>
          </w:p>
        </w:tc>
        <w:tc>
          <w:tcPr>
            <w:tcW w:w="1073" w:type="dxa"/>
            <w:vAlign w:val="center"/>
          </w:tcPr>
          <w:p w14:paraId="10552673" w14:textId="4B223026" w:rsidR="00302B00" w:rsidRPr="00271864" w:rsidRDefault="001940E4" w:rsidP="00302B00">
            <w:pPr>
              <w:jc w:val="center"/>
              <w:rPr>
                <w:rFonts w:cstheme="minorHAnsi"/>
                <w:sz w:val="20"/>
                <w:szCs w:val="20"/>
              </w:rPr>
            </w:pPr>
            <w:r>
              <w:rPr>
                <w:rFonts w:cstheme="minorHAnsi"/>
                <w:sz w:val="20"/>
                <w:szCs w:val="20"/>
              </w:rPr>
              <w:t>-</w:t>
            </w:r>
            <w:r w:rsidR="00A1736B">
              <w:rPr>
                <w:rFonts w:cstheme="minorHAnsi"/>
                <w:sz w:val="20"/>
                <w:szCs w:val="20"/>
              </w:rPr>
              <w:t>509</w:t>
            </w:r>
          </w:p>
        </w:tc>
      </w:tr>
    </w:tbl>
    <w:p w14:paraId="7D46C787" w14:textId="577AB9D8" w:rsidR="00B55769" w:rsidRPr="003D07A2" w:rsidRDefault="00B55769" w:rsidP="00712DD6">
      <w:pPr>
        <w:spacing w:before="100" w:beforeAutospacing="1" w:after="100" w:afterAutospacing="1"/>
        <w:jc w:val="both"/>
        <w:rPr>
          <w:rFonts w:cstheme="minorHAnsi"/>
        </w:rPr>
      </w:pPr>
      <w:r w:rsidRPr="003D07A2">
        <w:rPr>
          <w:rFonts w:cstheme="minorHAnsi"/>
        </w:rPr>
        <w:t xml:space="preserve">Pārskata </w:t>
      </w:r>
      <w:r w:rsidR="00A606ED">
        <w:rPr>
          <w:rFonts w:cstheme="minorHAnsi"/>
        </w:rPr>
        <w:t>periodā pacientu plūsma palielinās</w:t>
      </w:r>
      <w:r w:rsidR="00A74F6E">
        <w:rPr>
          <w:rFonts w:cstheme="minorHAnsi"/>
        </w:rPr>
        <w:t xml:space="preserve"> Dienas stacionāra sniegto pakalpojumu </w:t>
      </w:r>
      <w:r w:rsidR="003C10F6">
        <w:rPr>
          <w:rFonts w:cstheme="minorHAnsi"/>
        </w:rPr>
        <w:t>pieprasījumā.</w:t>
      </w:r>
    </w:p>
    <w:p w14:paraId="4A72332E" w14:textId="06B10D14" w:rsidR="0010757F" w:rsidRPr="003D07A2" w:rsidRDefault="0010757F" w:rsidP="00D877B1">
      <w:pPr>
        <w:spacing w:before="100" w:beforeAutospacing="1" w:after="100" w:afterAutospacing="1"/>
        <w:jc w:val="both"/>
        <w:rPr>
          <w:rFonts w:cstheme="minorHAnsi"/>
          <w:b/>
          <w:bCs/>
        </w:rPr>
      </w:pPr>
      <w:r w:rsidRPr="003D07A2">
        <w:rPr>
          <w:rFonts w:cstheme="minorHAnsi"/>
          <w:b/>
          <w:bCs/>
        </w:rPr>
        <w:t>Nefinanšu mērķu</w:t>
      </w:r>
      <w:r w:rsidR="003C10F6">
        <w:rPr>
          <w:rFonts w:cstheme="minorHAnsi"/>
          <w:b/>
          <w:bCs/>
        </w:rPr>
        <w:t xml:space="preserve"> (saskaņā ar Sabiedrī</w:t>
      </w:r>
      <w:r w:rsidR="00C21B98">
        <w:rPr>
          <w:rFonts w:cstheme="minorHAnsi"/>
          <w:b/>
          <w:bCs/>
        </w:rPr>
        <w:t>b</w:t>
      </w:r>
      <w:r w:rsidR="003C10F6">
        <w:rPr>
          <w:rFonts w:cstheme="minorHAnsi"/>
          <w:b/>
          <w:bCs/>
        </w:rPr>
        <w:t xml:space="preserve">as vidēja </w:t>
      </w:r>
      <w:r w:rsidR="00C21B98">
        <w:rPr>
          <w:rFonts w:cstheme="minorHAnsi"/>
          <w:b/>
          <w:bCs/>
        </w:rPr>
        <w:t>termiņa darbības st</w:t>
      </w:r>
      <w:r w:rsidR="009654BE">
        <w:rPr>
          <w:rFonts w:cstheme="minorHAnsi"/>
          <w:b/>
          <w:bCs/>
        </w:rPr>
        <w:t>r</w:t>
      </w:r>
      <w:r w:rsidR="00C21B98">
        <w:rPr>
          <w:rFonts w:cstheme="minorHAnsi"/>
          <w:b/>
          <w:bCs/>
        </w:rPr>
        <w:t>atēģiju 2020.-2022.gadam)</w:t>
      </w:r>
      <w:r w:rsidRPr="003D07A2">
        <w:rPr>
          <w:rFonts w:cstheme="minorHAnsi"/>
          <w:b/>
          <w:bCs/>
        </w:rPr>
        <w:t xml:space="preserve">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F51C13" w:rsidRPr="00E8377F" w14:paraId="662721E8" w14:textId="77777777" w:rsidTr="00F51C13">
        <w:trPr>
          <w:trHeight w:val="456"/>
        </w:trPr>
        <w:tc>
          <w:tcPr>
            <w:tcW w:w="4673" w:type="dxa"/>
            <w:vAlign w:val="center"/>
          </w:tcPr>
          <w:p w14:paraId="1A224FAB" w14:textId="77777777" w:rsidR="00F51C13" w:rsidRPr="00E8377F" w:rsidRDefault="00F51C13" w:rsidP="00F51C13">
            <w:pPr>
              <w:jc w:val="center"/>
              <w:rPr>
                <w:rFonts w:cstheme="minorHAnsi"/>
                <w:sz w:val="20"/>
                <w:szCs w:val="20"/>
              </w:rPr>
            </w:pPr>
            <w:r w:rsidRPr="00E8377F">
              <w:rPr>
                <w:rFonts w:cstheme="minorHAnsi"/>
                <w:sz w:val="20"/>
                <w:szCs w:val="20"/>
              </w:rPr>
              <w:t>Rādītājs</w:t>
            </w:r>
          </w:p>
        </w:tc>
        <w:tc>
          <w:tcPr>
            <w:tcW w:w="1559" w:type="dxa"/>
            <w:vAlign w:val="center"/>
          </w:tcPr>
          <w:p w14:paraId="7FD3455D" w14:textId="6D5D2CF1" w:rsidR="00F51C13" w:rsidRPr="00E8377F" w:rsidRDefault="00F51C13" w:rsidP="00F51C13">
            <w:pPr>
              <w:jc w:val="center"/>
              <w:rPr>
                <w:rFonts w:cstheme="minorHAnsi"/>
                <w:sz w:val="20"/>
                <w:szCs w:val="20"/>
              </w:rPr>
            </w:pPr>
            <w:r w:rsidRPr="00E8377F">
              <w:rPr>
                <w:rFonts w:cstheme="minorHAnsi"/>
                <w:sz w:val="20"/>
                <w:szCs w:val="20"/>
              </w:rPr>
              <w:t>202</w:t>
            </w:r>
            <w:r w:rsidR="003C10F6">
              <w:rPr>
                <w:rFonts w:cstheme="minorHAnsi"/>
                <w:sz w:val="20"/>
                <w:szCs w:val="20"/>
              </w:rPr>
              <w:t>2</w:t>
            </w:r>
            <w:r w:rsidRPr="00E8377F">
              <w:rPr>
                <w:rFonts w:cstheme="minorHAnsi"/>
                <w:sz w:val="20"/>
                <w:szCs w:val="20"/>
              </w:rPr>
              <w:t>.gada 1.cet.fakts</w:t>
            </w:r>
          </w:p>
        </w:tc>
        <w:tc>
          <w:tcPr>
            <w:tcW w:w="1586" w:type="dxa"/>
            <w:vAlign w:val="center"/>
          </w:tcPr>
          <w:p w14:paraId="746B18D1" w14:textId="400FE896" w:rsidR="00F51C13" w:rsidRPr="00E8377F" w:rsidRDefault="00F51C13" w:rsidP="00F51C13">
            <w:pPr>
              <w:jc w:val="center"/>
              <w:rPr>
                <w:rFonts w:cstheme="minorHAnsi"/>
                <w:sz w:val="20"/>
                <w:szCs w:val="20"/>
              </w:rPr>
            </w:pPr>
            <w:r w:rsidRPr="00E8377F">
              <w:rPr>
                <w:rFonts w:cstheme="minorHAnsi"/>
                <w:sz w:val="20"/>
                <w:szCs w:val="20"/>
              </w:rPr>
              <w:t>202</w:t>
            </w:r>
            <w:r w:rsidR="003C10F6">
              <w:rPr>
                <w:rFonts w:cstheme="minorHAnsi"/>
                <w:sz w:val="20"/>
                <w:szCs w:val="20"/>
              </w:rPr>
              <w:t>3</w:t>
            </w:r>
            <w:r w:rsidRPr="00E8377F">
              <w:rPr>
                <w:rFonts w:cstheme="minorHAnsi"/>
                <w:sz w:val="20"/>
                <w:szCs w:val="20"/>
              </w:rPr>
              <w:t>.gada plāns</w:t>
            </w:r>
          </w:p>
        </w:tc>
        <w:tc>
          <w:tcPr>
            <w:tcW w:w="1249" w:type="dxa"/>
            <w:vAlign w:val="center"/>
          </w:tcPr>
          <w:p w14:paraId="4BA40ABA" w14:textId="596B4C32" w:rsidR="00F51C13" w:rsidRPr="00E8377F" w:rsidRDefault="00F51C13" w:rsidP="00F51C13">
            <w:pPr>
              <w:jc w:val="center"/>
              <w:rPr>
                <w:rFonts w:cstheme="minorHAnsi"/>
                <w:sz w:val="20"/>
                <w:szCs w:val="20"/>
              </w:rPr>
            </w:pPr>
            <w:r w:rsidRPr="00E8377F">
              <w:rPr>
                <w:rFonts w:cstheme="minorHAnsi"/>
                <w:sz w:val="20"/>
                <w:szCs w:val="20"/>
              </w:rPr>
              <w:t>202</w:t>
            </w:r>
            <w:r w:rsidR="003C10F6">
              <w:rPr>
                <w:rFonts w:cstheme="minorHAnsi"/>
                <w:sz w:val="20"/>
                <w:szCs w:val="20"/>
              </w:rPr>
              <w:t>3</w:t>
            </w:r>
            <w:r w:rsidRPr="00E8377F">
              <w:rPr>
                <w:rFonts w:cstheme="minorHAnsi"/>
                <w:sz w:val="20"/>
                <w:szCs w:val="20"/>
              </w:rPr>
              <w:t>.gada 1.cet.fakts</w:t>
            </w:r>
          </w:p>
        </w:tc>
      </w:tr>
      <w:tr w:rsidR="003C10F6" w:rsidRPr="00E8377F" w14:paraId="21CE53C5" w14:textId="77777777" w:rsidTr="00F51C13">
        <w:trPr>
          <w:trHeight w:val="469"/>
        </w:trPr>
        <w:tc>
          <w:tcPr>
            <w:tcW w:w="4673" w:type="dxa"/>
            <w:vAlign w:val="center"/>
          </w:tcPr>
          <w:p w14:paraId="064CA59D" w14:textId="17BDAED2" w:rsidR="003C10F6" w:rsidRPr="00E8377F" w:rsidRDefault="003C10F6" w:rsidP="003C10F6">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409AD43F" w14:textId="4F8F13E9" w:rsidR="003C10F6" w:rsidRPr="00E8377F" w:rsidRDefault="003C10F6" w:rsidP="003C10F6">
            <w:pPr>
              <w:jc w:val="center"/>
              <w:rPr>
                <w:rFonts w:cstheme="minorHAnsi"/>
                <w:sz w:val="20"/>
                <w:szCs w:val="20"/>
              </w:rPr>
            </w:pPr>
            <w:r>
              <w:rPr>
                <w:rFonts w:cstheme="minorHAnsi"/>
                <w:sz w:val="20"/>
                <w:szCs w:val="20"/>
              </w:rPr>
              <w:t>284</w:t>
            </w:r>
          </w:p>
        </w:tc>
        <w:tc>
          <w:tcPr>
            <w:tcW w:w="1586" w:type="dxa"/>
            <w:vAlign w:val="center"/>
          </w:tcPr>
          <w:p w14:paraId="7C2323E7" w14:textId="0B1D7166" w:rsidR="003C10F6" w:rsidRPr="00E8377F" w:rsidRDefault="0040242C" w:rsidP="003C10F6">
            <w:pPr>
              <w:jc w:val="center"/>
              <w:rPr>
                <w:rFonts w:cstheme="minorHAnsi"/>
                <w:sz w:val="20"/>
                <w:szCs w:val="20"/>
              </w:rPr>
            </w:pPr>
            <w:r>
              <w:rPr>
                <w:rFonts w:cstheme="minorHAnsi"/>
                <w:sz w:val="20"/>
                <w:szCs w:val="20"/>
              </w:rPr>
              <w:t>269</w:t>
            </w:r>
          </w:p>
        </w:tc>
        <w:tc>
          <w:tcPr>
            <w:tcW w:w="1249" w:type="dxa"/>
            <w:vAlign w:val="center"/>
          </w:tcPr>
          <w:p w14:paraId="6B255797" w14:textId="4C2AC98A" w:rsidR="003C10F6" w:rsidRPr="00E8377F" w:rsidRDefault="00117AAA" w:rsidP="003C10F6">
            <w:pPr>
              <w:jc w:val="center"/>
              <w:rPr>
                <w:rFonts w:cstheme="minorHAnsi"/>
                <w:sz w:val="20"/>
                <w:szCs w:val="20"/>
              </w:rPr>
            </w:pPr>
            <w:r>
              <w:rPr>
                <w:rFonts w:cstheme="minorHAnsi"/>
                <w:sz w:val="20"/>
                <w:szCs w:val="20"/>
              </w:rPr>
              <w:t>269</w:t>
            </w:r>
          </w:p>
        </w:tc>
      </w:tr>
      <w:tr w:rsidR="003C10F6" w:rsidRPr="00E8377F" w14:paraId="1823008E" w14:textId="77777777" w:rsidTr="00F51C13">
        <w:trPr>
          <w:trHeight w:val="531"/>
        </w:trPr>
        <w:tc>
          <w:tcPr>
            <w:tcW w:w="4673" w:type="dxa"/>
            <w:vAlign w:val="center"/>
          </w:tcPr>
          <w:p w14:paraId="03707314" w14:textId="77777777" w:rsidR="003C10F6" w:rsidRPr="00E8377F" w:rsidRDefault="003C10F6" w:rsidP="003C10F6">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0DD56C14" w14:textId="5B302036" w:rsidR="003C10F6" w:rsidRPr="00E8377F" w:rsidRDefault="003C10F6" w:rsidP="003C10F6">
            <w:pPr>
              <w:jc w:val="center"/>
              <w:rPr>
                <w:rFonts w:cstheme="minorHAnsi"/>
                <w:sz w:val="20"/>
                <w:szCs w:val="20"/>
              </w:rPr>
            </w:pPr>
            <w:r w:rsidRPr="00E8377F">
              <w:rPr>
                <w:rFonts w:cstheme="minorHAnsi"/>
                <w:sz w:val="20"/>
                <w:szCs w:val="20"/>
              </w:rPr>
              <w:t>3</w:t>
            </w:r>
            <w:r>
              <w:rPr>
                <w:rFonts w:cstheme="minorHAnsi"/>
                <w:sz w:val="20"/>
                <w:szCs w:val="20"/>
              </w:rPr>
              <w:t>7</w:t>
            </w:r>
            <w:r w:rsidRPr="00E8377F">
              <w:rPr>
                <w:rFonts w:cstheme="minorHAnsi"/>
                <w:sz w:val="20"/>
                <w:szCs w:val="20"/>
              </w:rPr>
              <w:t>/11</w:t>
            </w:r>
            <w:r>
              <w:rPr>
                <w:rFonts w:cstheme="minorHAnsi"/>
                <w:sz w:val="20"/>
                <w:szCs w:val="20"/>
              </w:rPr>
              <w:t>3</w:t>
            </w:r>
          </w:p>
        </w:tc>
        <w:tc>
          <w:tcPr>
            <w:tcW w:w="1586" w:type="dxa"/>
            <w:vAlign w:val="center"/>
          </w:tcPr>
          <w:p w14:paraId="490A24BD" w14:textId="1BB0D123" w:rsidR="003C10F6" w:rsidRPr="00E8377F" w:rsidRDefault="00AC2D78" w:rsidP="003C10F6">
            <w:pPr>
              <w:jc w:val="center"/>
              <w:rPr>
                <w:rFonts w:cstheme="minorHAnsi"/>
                <w:sz w:val="20"/>
                <w:szCs w:val="20"/>
              </w:rPr>
            </w:pPr>
            <w:r>
              <w:rPr>
                <w:rFonts w:cstheme="minorHAnsi"/>
                <w:sz w:val="20"/>
                <w:szCs w:val="20"/>
              </w:rPr>
              <w:t>37</w:t>
            </w:r>
            <w:r w:rsidR="003C10F6" w:rsidRPr="00E8377F">
              <w:rPr>
                <w:rFonts w:cstheme="minorHAnsi"/>
                <w:sz w:val="20"/>
                <w:szCs w:val="20"/>
              </w:rPr>
              <w:t>/</w:t>
            </w:r>
            <w:r w:rsidR="00DC03EB">
              <w:rPr>
                <w:rFonts w:cstheme="minorHAnsi"/>
                <w:sz w:val="20"/>
                <w:szCs w:val="20"/>
              </w:rPr>
              <w:t>109</w:t>
            </w:r>
          </w:p>
        </w:tc>
        <w:tc>
          <w:tcPr>
            <w:tcW w:w="1249" w:type="dxa"/>
            <w:vAlign w:val="center"/>
          </w:tcPr>
          <w:p w14:paraId="25304752" w14:textId="2B4E61B8" w:rsidR="003C10F6" w:rsidRPr="00E8377F" w:rsidRDefault="003C10F6" w:rsidP="003C10F6">
            <w:pPr>
              <w:jc w:val="center"/>
              <w:rPr>
                <w:rFonts w:cstheme="minorHAnsi"/>
                <w:color w:val="FF0000"/>
                <w:sz w:val="20"/>
                <w:szCs w:val="20"/>
              </w:rPr>
            </w:pPr>
            <w:r w:rsidRPr="00E8377F">
              <w:rPr>
                <w:rFonts w:cstheme="minorHAnsi"/>
                <w:sz w:val="20"/>
                <w:szCs w:val="20"/>
              </w:rPr>
              <w:t>3</w:t>
            </w:r>
            <w:r w:rsidR="00020EBD">
              <w:rPr>
                <w:rFonts w:cstheme="minorHAnsi"/>
                <w:sz w:val="20"/>
                <w:szCs w:val="20"/>
              </w:rPr>
              <w:t>6</w:t>
            </w:r>
            <w:r w:rsidRPr="00E8377F">
              <w:rPr>
                <w:rFonts w:cstheme="minorHAnsi"/>
                <w:sz w:val="20"/>
                <w:szCs w:val="20"/>
              </w:rPr>
              <w:t>/1</w:t>
            </w:r>
            <w:r w:rsidR="00020EBD">
              <w:rPr>
                <w:rFonts w:cstheme="minorHAnsi"/>
                <w:sz w:val="20"/>
                <w:szCs w:val="20"/>
              </w:rPr>
              <w:t>07</w:t>
            </w:r>
          </w:p>
        </w:tc>
      </w:tr>
      <w:tr w:rsidR="003C10F6" w:rsidRPr="00E8377F" w14:paraId="20FCA30D" w14:textId="77777777" w:rsidTr="00F51C13">
        <w:trPr>
          <w:trHeight w:val="901"/>
        </w:trPr>
        <w:tc>
          <w:tcPr>
            <w:tcW w:w="4673" w:type="dxa"/>
            <w:vAlign w:val="center"/>
          </w:tcPr>
          <w:p w14:paraId="11D905DB" w14:textId="77777777" w:rsidR="003C10F6" w:rsidRPr="00E8377F" w:rsidRDefault="003C10F6" w:rsidP="003C10F6">
            <w:pPr>
              <w:rPr>
                <w:rFonts w:cstheme="minorHAnsi"/>
                <w:sz w:val="20"/>
                <w:szCs w:val="20"/>
              </w:rPr>
            </w:pPr>
            <w:r w:rsidRPr="00E8377F">
              <w:rPr>
                <w:rFonts w:cstheme="minorHAnsi"/>
                <w:color w:val="000000"/>
                <w:sz w:val="20"/>
                <w:szCs w:val="20"/>
              </w:rPr>
              <w:t>Iestādē strādājošo ārstniecības personu vecuma grupā 25-40 gadiem īpatsvars no kopējā iestādē strādājošo ārstniecības personu skaita, %</w:t>
            </w:r>
          </w:p>
        </w:tc>
        <w:tc>
          <w:tcPr>
            <w:tcW w:w="1559" w:type="dxa"/>
            <w:vAlign w:val="center"/>
          </w:tcPr>
          <w:p w14:paraId="4D5A01DD" w14:textId="12B74FD4" w:rsidR="003C10F6" w:rsidRPr="00E8377F" w:rsidRDefault="003C10F6" w:rsidP="003C10F6">
            <w:pPr>
              <w:jc w:val="center"/>
              <w:rPr>
                <w:rFonts w:cstheme="minorHAnsi"/>
                <w:sz w:val="20"/>
                <w:szCs w:val="20"/>
              </w:rPr>
            </w:pPr>
            <w:r w:rsidRPr="00E8377F">
              <w:rPr>
                <w:rFonts w:cstheme="minorHAnsi"/>
                <w:sz w:val="20"/>
                <w:szCs w:val="20"/>
              </w:rPr>
              <w:t>2</w:t>
            </w:r>
            <w:r>
              <w:rPr>
                <w:rFonts w:cstheme="minorHAnsi"/>
                <w:sz w:val="20"/>
                <w:szCs w:val="20"/>
              </w:rPr>
              <w:t>6</w:t>
            </w:r>
          </w:p>
        </w:tc>
        <w:tc>
          <w:tcPr>
            <w:tcW w:w="1586" w:type="dxa"/>
            <w:vAlign w:val="center"/>
          </w:tcPr>
          <w:p w14:paraId="33180CB1" w14:textId="6BF7562D" w:rsidR="003C10F6" w:rsidRPr="00E8377F" w:rsidRDefault="003C10F6" w:rsidP="003C10F6">
            <w:pPr>
              <w:jc w:val="center"/>
              <w:rPr>
                <w:rFonts w:cstheme="minorHAnsi"/>
                <w:sz w:val="20"/>
                <w:szCs w:val="20"/>
              </w:rPr>
            </w:pPr>
            <w:r w:rsidRPr="00E8377F">
              <w:rPr>
                <w:rFonts w:cstheme="minorHAnsi"/>
                <w:sz w:val="20"/>
                <w:szCs w:val="20"/>
              </w:rPr>
              <w:t>2</w:t>
            </w:r>
            <w:r w:rsidR="00670747">
              <w:rPr>
                <w:rFonts w:cstheme="minorHAnsi"/>
                <w:sz w:val="20"/>
                <w:szCs w:val="20"/>
              </w:rPr>
              <w:t>6</w:t>
            </w:r>
          </w:p>
        </w:tc>
        <w:tc>
          <w:tcPr>
            <w:tcW w:w="1249" w:type="dxa"/>
            <w:vAlign w:val="center"/>
          </w:tcPr>
          <w:p w14:paraId="3CABC01D" w14:textId="1651F50E" w:rsidR="003C10F6" w:rsidRPr="00E8377F" w:rsidRDefault="003C10F6" w:rsidP="003C10F6">
            <w:pPr>
              <w:jc w:val="center"/>
              <w:rPr>
                <w:rFonts w:cstheme="minorHAnsi"/>
                <w:color w:val="FF0000"/>
                <w:sz w:val="20"/>
                <w:szCs w:val="20"/>
              </w:rPr>
            </w:pPr>
            <w:r w:rsidRPr="00E8377F">
              <w:rPr>
                <w:rFonts w:cstheme="minorHAnsi"/>
                <w:sz w:val="20"/>
                <w:szCs w:val="20"/>
              </w:rPr>
              <w:t>2</w:t>
            </w:r>
            <w:r w:rsidR="00740162">
              <w:rPr>
                <w:rFonts w:cstheme="minorHAnsi"/>
                <w:sz w:val="20"/>
                <w:szCs w:val="20"/>
              </w:rPr>
              <w:t>4</w:t>
            </w:r>
          </w:p>
        </w:tc>
      </w:tr>
      <w:tr w:rsidR="003C10F6" w:rsidRPr="00E8377F" w14:paraId="51AB0EED" w14:textId="77777777" w:rsidTr="00F51C13">
        <w:trPr>
          <w:trHeight w:val="469"/>
        </w:trPr>
        <w:tc>
          <w:tcPr>
            <w:tcW w:w="4673" w:type="dxa"/>
            <w:vAlign w:val="center"/>
          </w:tcPr>
          <w:p w14:paraId="1707FAA6" w14:textId="77777777" w:rsidR="003C10F6" w:rsidRPr="00E8377F" w:rsidRDefault="003C10F6" w:rsidP="003C10F6">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10FD3981" w14:textId="0C6891AC" w:rsidR="003C10F6" w:rsidRPr="00E8377F" w:rsidRDefault="003C10F6" w:rsidP="003C10F6">
            <w:pPr>
              <w:jc w:val="center"/>
              <w:rPr>
                <w:rFonts w:cstheme="minorHAnsi"/>
                <w:sz w:val="20"/>
                <w:szCs w:val="20"/>
              </w:rPr>
            </w:pPr>
            <w:r w:rsidRPr="00E8377F">
              <w:rPr>
                <w:rFonts w:cstheme="minorHAnsi"/>
                <w:sz w:val="20"/>
                <w:szCs w:val="20"/>
              </w:rPr>
              <w:t>2</w:t>
            </w:r>
            <w:r>
              <w:rPr>
                <w:rFonts w:cstheme="minorHAnsi"/>
                <w:sz w:val="20"/>
                <w:szCs w:val="20"/>
              </w:rPr>
              <w:t>2</w:t>
            </w:r>
          </w:p>
        </w:tc>
        <w:tc>
          <w:tcPr>
            <w:tcW w:w="1586" w:type="dxa"/>
            <w:vAlign w:val="center"/>
          </w:tcPr>
          <w:p w14:paraId="0B756FF3" w14:textId="01F4001C" w:rsidR="003C10F6" w:rsidRPr="00E8377F" w:rsidRDefault="00117AAA" w:rsidP="003C10F6">
            <w:pPr>
              <w:jc w:val="center"/>
              <w:rPr>
                <w:rFonts w:cstheme="minorHAnsi"/>
                <w:sz w:val="20"/>
                <w:szCs w:val="20"/>
              </w:rPr>
            </w:pPr>
            <w:r>
              <w:rPr>
                <w:rFonts w:cstheme="minorHAnsi"/>
                <w:sz w:val="20"/>
                <w:szCs w:val="20"/>
              </w:rPr>
              <w:t>23</w:t>
            </w:r>
          </w:p>
        </w:tc>
        <w:tc>
          <w:tcPr>
            <w:tcW w:w="1249" w:type="dxa"/>
            <w:vAlign w:val="center"/>
          </w:tcPr>
          <w:p w14:paraId="33548549" w14:textId="73B03E4E" w:rsidR="003C10F6" w:rsidRPr="00E8377F" w:rsidRDefault="003C10F6" w:rsidP="003C10F6">
            <w:pPr>
              <w:jc w:val="center"/>
              <w:rPr>
                <w:rFonts w:cstheme="minorHAnsi"/>
                <w:sz w:val="20"/>
                <w:szCs w:val="20"/>
              </w:rPr>
            </w:pPr>
            <w:r w:rsidRPr="00E8377F">
              <w:rPr>
                <w:rFonts w:cstheme="minorHAnsi"/>
                <w:sz w:val="20"/>
                <w:szCs w:val="20"/>
              </w:rPr>
              <w:t>2</w:t>
            </w:r>
            <w:r w:rsidR="00740162">
              <w:rPr>
                <w:rFonts w:cstheme="minorHAnsi"/>
                <w:sz w:val="20"/>
                <w:szCs w:val="20"/>
              </w:rPr>
              <w:t>3</w:t>
            </w:r>
          </w:p>
        </w:tc>
      </w:tr>
      <w:tr w:rsidR="003C10F6" w:rsidRPr="00E8377F" w14:paraId="6FDA00AD" w14:textId="77777777" w:rsidTr="00F51C13">
        <w:trPr>
          <w:trHeight w:val="220"/>
        </w:trPr>
        <w:tc>
          <w:tcPr>
            <w:tcW w:w="4673" w:type="dxa"/>
            <w:vAlign w:val="center"/>
          </w:tcPr>
          <w:p w14:paraId="2A68865F" w14:textId="77777777" w:rsidR="003C10F6" w:rsidRPr="00E8377F" w:rsidRDefault="003C10F6" w:rsidP="003C10F6">
            <w:pPr>
              <w:rPr>
                <w:rFonts w:cstheme="minorHAnsi"/>
                <w:sz w:val="20"/>
                <w:szCs w:val="20"/>
              </w:rPr>
            </w:pPr>
            <w:r w:rsidRPr="00E8377F">
              <w:rPr>
                <w:rFonts w:cstheme="minorHAnsi"/>
                <w:color w:val="000000"/>
                <w:sz w:val="20"/>
                <w:szCs w:val="20"/>
              </w:rPr>
              <w:t>Gultu noslodze, %</w:t>
            </w:r>
          </w:p>
        </w:tc>
        <w:tc>
          <w:tcPr>
            <w:tcW w:w="1559" w:type="dxa"/>
            <w:vAlign w:val="center"/>
          </w:tcPr>
          <w:p w14:paraId="35D99558" w14:textId="50426647" w:rsidR="003C10F6" w:rsidRPr="00E8377F" w:rsidRDefault="003C10F6" w:rsidP="003C10F6">
            <w:pPr>
              <w:jc w:val="center"/>
              <w:rPr>
                <w:rFonts w:cstheme="minorHAnsi"/>
                <w:sz w:val="20"/>
                <w:szCs w:val="20"/>
              </w:rPr>
            </w:pPr>
            <w:r>
              <w:rPr>
                <w:rFonts w:cstheme="minorHAnsi"/>
                <w:sz w:val="20"/>
                <w:szCs w:val="20"/>
              </w:rPr>
              <w:t>70</w:t>
            </w:r>
          </w:p>
        </w:tc>
        <w:tc>
          <w:tcPr>
            <w:tcW w:w="1586" w:type="dxa"/>
            <w:vAlign w:val="center"/>
          </w:tcPr>
          <w:p w14:paraId="6729856A" w14:textId="584169F3" w:rsidR="003C10F6" w:rsidRPr="00E8377F" w:rsidRDefault="00117AAA" w:rsidP="003C10F6">
            <w:pPr>
              <w:jc w:val="center"/>
              <w:rPr>
                <w:rFonts w:cstheme="minorHAnsi"/>
                <w:sz w:val="20"/>
                <w:szCs w:val="20"/>
              </w:rPr>
            </w:pPr>
            <w:r>
              <w:rPr>
                <w:rFonts w:cstheme="minorHAnsi"/>
                <w:sz w:val="20"/>
                <w:szCs w:val="20"/>
              </w:rPr>
              <w:t>77</w:t>
            </w:r>
          </w:p>
        </w:tc>
        <w:tc>
          <w:tcPr>
            <w:tcW w:w="1249" w:type="dxa"/>
            <w:vAlign w:val="center"/>
          </w:tcPr>
          <w:p w14:paraId="3EF0112B" w14:textId="539F2F99" w:rsidR="003C10F6" w:rsidRPr="00E8377F" w:rsidRDefault="003C10F6" w:rsidP="003C10F6">
            <w:pPr>
              <w:jc w:val="center"/>
              <w:rPr>
                <w:rFonts w:cstheme="minorHAnsi"/>
                <w:sz w:val="20"/>
                <w:szCs w:val="20"/>
              </w:rPr>
            </w:pPr>
            <w:r>
              <w:rPr>
                <w:rFonts w:cstheme="minorHAnsi"/>
                <w:sz w:val="20"/>
                <w:szCs w:val="20"/>
              </w:rPr>
              <w:t>7</w:t>
            </w:r>
            <w:r w:rsidR="00740162">
              <w:rPr>
                <w:rFonts w:cstheme="minorHAnsi"/>
                <w:sz w:val="20"/>
                <w:szCs w:val="20"/>
              </w:rPr>
              <w:t>8</w:t>
            </w:r>
          </w:p>
        </w:tc>
      </w:tr>
      <w:tr w:rsidR="003C10F6" w:rsidRPr="00E8377F" w14:paraId="34147CE7" w14:textId="77777777" w:rsidTr="00F51C13">
        <w:trPr>
          <w:trHeight w:val="984"/>
        </w:trPr>
        <w:tc>
          <w:tcPr>
            <w:tcW w:w="4673" w:type="dxa"/>
            <w:vAlign w:val="center"/>
          </w:tcPr>
          <w:p w14:paraId="1958EB2E" w14:textId="77777777" w:rsidR="003C10F6" w:rsidRPr="00E8377F" w:rsidRDefault="003C10F6" w:rsidP="003C10F6">
            <w:pPr>
              <w:rPr>
                <w:rFonts w:cstheme="minorHAnsi"/>
                <w:sz w:val="20"/>
                <w:szCs w:val="20"/>
              </w:rPr>
            </w:pPr>
            <w:r w:rsidRPr="00E8377F">
              <w:rPr>
                <w:rFonts w:cstheme="minorHAnsi"/>
                <w:color w:val="000000"/>
                <w:sz w:val="20"/>
                <w:szCs w:val="20"/>
              </w:rPr>
              <w:t>Pacientu ar šizofrēniju, šizotipiskiem traucējumiem vai murgiem neatliekama atkārtota stacionēšana 30 dienu laikā tajā pašā stacionārajā ārstniecības iestādē,%</w:t>
            </w:r>
          </w:p>
        </w:tc>
        <w:tc>
          <w:tcPr>
            <w:tcW w:w="1559" w:type="dxa"/>
            <w:vAlign w:val="center"/>
          </w:tcPr>
          <w:p w14:paraId="3F370472" w14:textId="13245218" w:rsidR="003C10F6" w:rsidRPr="00E8377F" w:rsidRDefault="003C10F6" w:rsidP="003C10F6">
            <w:pPr>
              <w:jc w:val="center"/>
              <w:rPr>
                <w:rFonts w:cstheme="minorHAnsi"/>
                <w:sz w:val="20"/>
                <w:szCs w:val="20"/>
              </w:rPr>
            </w:pPr>
            <w:r>
              <w:rPr>
                <w:rFonts w:cstheme="minorHAnsi"/>
                <w:sz w:val="20"/>
                <w:szCs w:val="20"/>
              </w:rPr>
              <w:t>4</w:t>
            </w:r>
            <w:r w:rsidRPr="00E8377F">
              <w:rPr>
                <w:rFonts w:cstheme="minorHAnsi"/>
                <w:sz w:val="20"/>
                <w:szCs w:val="20"/>
              </w:rPr>
              <w:t>/</w:t>
            </w:r>
            <w:r>
              <w:rPr>
                <w:rFonts w:cstheme="minorHAnsi"/>
                <w:sz w:val="20"/>
                <w:szCs w:val="20"/>
              </w:rPr>
              <w:t>4</w:t>
            </w:r>
            <w:r w:rsidRPr="00E8377F">
              <w:rPr>
                <w:rFonts w:cstheme="minorHAnsi"/>
                <w:sz w:val="20"/>
                <w:szCs w:val="20"/>
              </w:rPr>
              <w:t>%</w:t>
            </w:r>
          </w:p>
        </w:tc>
        <w:tc>
          <w:tcPr>
            <w:tcW w:w="1586" w:type="dxa"/>
            <w:vAlign w:val="center"/>
          </w:tcPr>
          <w:p w14:paraId="3C81AD8E" w14:textId="3071DDD2" w:rsidR="003C10F6" w:rsidRPr="00E8377F" w:rsidRDefault="003C10F6" w:rsidP="003C10F6">
            <w:pPr>
              <w:jc w:val="center"/>
              <w:rPr>
                <w:rFonts w:cstheme="minorHAnsi"/>
                <w:sz w:val="20"/>
                <w:szCs w:val="20"/>
              </w:rPr>
            </w:pPr>
            <w:r w:rsidRPr="00E8377F">
              <w:rPr>
                <w:rFonts w:cstheme="minorHAnsi"/>
                <w:sz w:val="20"/>
                <w:szCs w:val="20"/>
              </w:rPr>
              <w:t>112/15%</w:t>
            </w:r>
            <w:r>
              <w:rPr>
                <w:rFonts w:cstheme="minorHAnsi"/>
                <w:sz w:val="20"/>
                <w:szCs w:val="20"/>
              </w:rPr>
              <w:t xml:space="preserve"> (gada rādītājs)</w:t>
            </w:r>
          </w:p>
        </w:tc>
        <w:tc>
          <w:tcPr>
            <w:tcW w:w="1249" w:type="dxa"/>
            <w:vAlign w:val="center"/>
          </w:tcPr>
          <w:p w14:paraId="55EC0391" w14:textId="4D0DD62F" w:rsidR="003C10F6" w:rsidRPr="00E8377F" w:rsidRDefault="005D6D1A" w:rsidP="003C10F6">
            <w:pPr>
              <w:jc w:val="center"/>
              <w:rPr>
                <w:rFonts w:cstheme="minorHAnsi"/>
                <w:sz w:val="20"/>
                <w:szCs w:val="20"/>
              </w:rPr>
            </w:pPr>
            <w:r>
              <w:rPr>
                <w:rFonts w:cstheme="minorHAnsi"/>
                <w:sz w:val="20"/>
                <w:szCs w:val="20"/>
              </w:rPr>
              <w:t>9</w:t>
            </w:r>
            <w:r w:rsidR="003C10F6" w:rsidRPr="00E8377F">
              <w:rPr>
                <w:rFonts w:cstheme="minorHAnsi"/>
                <w:sz w:val="20"/>
                <w:szCs w:val="20"/>
              </w:rPr>
              <w:t>/</w:t>
            </w:r>
            <w:r w:rsidR="00874DD8">
              <w:rPr>
                <w:rFonts w:cstheme="minorHAnsi"/>
                <w:sz w:val="20"/>
                <w:szCs w:val="20"/>
              </w:rPr>
              <w:t>7</w:t>
            </w:r>
            <w:r w:rsidR="003C10F6" w:rsidRPr="00E8377F">
              <w:rPr>
                <w:rFonts w:cstheme="minorHAnsi"/>
                <w:sz w:val="20"/>
                <w:szCs w:val="20"/>
              </w:rPr>
              <w:t>%</w:t>
            </w:r>
          </w:p>
        </w:tc>
      </w:tr>
      <w:tr w:rsidR="003C10F6" w:rsidRPr="00E8377F" w14:paraId="63E91951" w14:textId="77777777" w:rsidTr="00F51C13">
        <w:trPr>
          <w:trHeight w:val="1185"/>
        </w:trPr>
        <w:tc>
          <w:tcPr>
            <w:tcW w:w="4673" w:type="dxa"/>
          </w:tcPr>
          <w:p w14:paraId="11086DF5" w14:textId="77777777" w:rsidR="003C10F6" w:rsidRPr="00E8377F" w:rsidRDefault="003C10F6" w:rsidP="003C10F6">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4B236D58" w14:textId="6413AE47" w:rsidR="003C10F6" w:rsidRPr="00E8377F" w:rsidRDefault="003C10F6" w:rsidP="003C10F6">
            <w:pPr>
              <w:jc w:val="center"/>
              <w:rPr>
                <w:rFonts w:cstheme="minorHAnsi"/>
                <w:sz w:val="20"/>
                <w:szCs w:val="20"/>
              </w:rPr>
            </w:pPr>
            <w:r w:rsidRPr="00E8377F">
              <w:rPr>
                <w:rFonts w:cstheme="minorHAnsi"/>
                <w:sz w:val="20"/>
                <w:szCs w:val="20"/>
              </w:rPr>
              <w:t>10/1.</w:t>
            </w:r>
            <w:r>
              <w:rPr>
                <w:rFonts w:cstheme="minorHAnsi"/>
                <w:sz w:val="20"/>
                <w:szCs w:val="20"/>
              </w:rPr>
              <w:t>2</w:t>
            </w:r>
            <w:r w:rsidRPr="00E8377F">
              <w:rPr>
                <w:rFonts w:cstheme="minorHAnsi"/>
                <w:sz w:val="20"/>
                <w:szCs w:val="20"/>
              </w:rPr>
              <w:t>%</w:t>
            </w:r>
          </w:p>
        </w:tc>
        <w:tc>
          <w:tcPr>
            <w:tcW w:w="1586" w:type="dxa"/>
            <w:vAlign w:val="center"/>
          </w:tcPr>
          <w:p w14:paraId="3C7DDC03" w14:textId="5ED364B7" w:rsidR="003C10F6" w:rsidRPr="00E8377F" w:rsidRDefault="003C10F6" w:rsidP="003C10F6">
            <w:pPr>
              <w:jc w:val="center"/>
              <w:rPr>
                <w:rFonts w:cstheme="minorHAnsi"/>
                <w:sz w:val="20"/>
                <w:szCs w:val="20"/>
              </w:rPr>
            </w:pPr>
            <w:r w:rsidRPr="00E8377F">
              <w:rPr>
                <w:rFonts w:cstheme="minorHAnsi"/>
                <w:sz w:val="20"/>
                <w:szCs w:val="20"/>
              </w:rPr>
              <w:t>28/1%</w:t>
            </w:r>
            <w:r>
              <w:rPr>
                <w:rFonts w:cstheme="minorHAnsi"/>
                <w:sz w:val="20"/>
                <w:szCs w:val="20"/>
              </w:rPr>
              <w:t xml:space="preserve"> (gada rādītājs)</w:t>
            </w:r>
          </w:p>
        </w:tc>
        <w:tc>
          <w:tcPr>
            <w:tcW w:w="1249" w:type="dxa"/>
            <w:vAlign w:val="center"/>
          </w:tcPr>
          <w:p w14:paraId="436E3362" w14:textId="46B43DCA" w:rsidR="003C10F6" w:rsidRPr="00E8377F" w:rsidRDefault="004405EE" w:rsidP="003C10F6">
            <w:pPr>
              <w:jc w:val="center"/>
              <w:rPr>
                <w:rFonts w:cstheme="minorHAnsi"/>
                <w:sz w:val="20"/>
                <w:szCs w:val="20"/>
              </w:rPr>
            </w:pPr>
            <w:r>
              <w:rPr>
                <w:rFonts w:cstheme="minorHAnsi"/>
                <w:sz w:val="20"/>
                <w:szCs w:val="20"/>
              </w:rPr>
              <w:t>7</w:t>
            </w:r>
            <w:r w:rsidR="003C10F6" w:rsidRPr="00E8377F">
              <w:rPr>
                <w:rFonts w:cstheme="minorHAnsi"/>
                <w:sz w:val="20"/>
                <w:szCs w:val="20"/>
              </w:rPr>
              <w:t>/</w:t>
            </w:r>
            <w:r w:rsidR="004D75AB">
              <w:rPr>
                <w:rFonts w:cstheme="minorHAnsi"/>
                <w:sz w:val="20"/>
                <w:szCs w:val="20"/>
              </w:rPr>
              <w:t>0.88</w:t>
            </w:r>
            <w:r w:rsidR="003C10F6" w:rsidRPr="00E8377F">
              <w:rPr>
                <w:rFonts w:cstheme="minorHAnsi"/>
                <w:sz w:val="20"/>
                <w:szCs w:val="20"/>
              </w:rPr>
              <w:t>%</w:t>
            </w:r>
          </w:p>
        </w:tc>
      </w:tr>
      <w:tr w:rsidR="003C10F6" w:rsidRPr="00E8377F" w14:paraId="03066FF3" w14:textId="77777777" w:rsidTr="00F51C13">
        <w:trPr>
          <w:trHeight w:val="220"/>
        </w:trPr>
        <w:tc>
          <w:tcPr>
            <w:tcW w:w="4673" w:type="dxa"/>
          </w:tcPr>
          <w:p w14:paraId="007D2992" w14:textId="77777777" w:rsidR="003C10F6" w:rsidRPr="00E8377F" w:rsidRDefault="003C10F6" w:rsidP="003C10F6">
            <w:pPr>
              <w:rPr>
                <w:rFonts w:cstheme="minorHAnsi"/>
                <w:sz w:val="20"/>
                <w:szCs w:val="20"/>
              </w:rPr>
            </w:pPr>
            <w:r w:rsidRPr="00E8377F">
              <w:rPr>
                <w:rFonts w:cstheme="minorHAnsi"/>
                <w:color w:val="000000"/>
                <w:sz w:val="20"/>
                <w:szCs w:val="20"/>
              </w:rPr>
              <w:t>Letalitāte stacionārā, %</w:t>
            </w:r>
          </w:p>
        </w:tc>
        <w:tc>
          <w:tcPr>
            <w:tcW w:w="1559" w:type="dxa"/>
            <w:vAlign w:val="center"/>
          </w:tcPr>
          <w:p w14:paraId="35110959" w14:textId="60A2EBCB" w:rsidR="003C10F6" w:rsidRPr="00E8377F" w:rsidRDefault="003C10F6" w:rsidP="003C10F6">
            <w:pPr>
              <w:jc w:val="center"/>
              <w:rPr>
                <w:rFonts w:cstheme="minorHAnsi"/>
                <w:sz w:val="20"/>
                <w:szCs w:val="20"/>
              </w:rPr>
            </w:pPr>
            <w:r>
              <w:rPr>
                <w:rFonts w:cstheme="minorHAnsi"/>
                <w:sz w:val="20"/>
                <w:szCs w:val="20"/>
              </w:rPr>
              <w:t>1.13</w:t>
            </w:r>
          </w:p>
        </w:tc>
        <w:tc>
          <w:tcPr>
            <w:tcW w:w="1586" w:type="dxa"/>
            <w:vAlign w:val="center"/>
          </w:tcPr>
          <w:p w14:paraId="7ACABC42" w14:textId="77777777" w:rsidR="003C10F6" w:rsidRPr="00E8377F" w:rsidRDefault="003C10F6" w:rsidP="003C10F6">
            <w:pPr>
              <w:jc w:val="center"/>
              <w:rPr>
                <w:rFonts w:cstheme="minorHAnsi"/>
                <w:sz w:val="20"/>
                <w:szCs w:val="20"/>
              </w:rPr>
            </w:pPr>
            <w:r w:rsidRPr="00E8377F">
              <w:rPr>
                <w:rFonts w:cstheme="minorHAnsi"/>
                <w:sz w:val="20"/>
                <w:szCs w:val="20"/>
              </w:rPr>
              <w:t>0.90</w:t>
            </w:r>
          </w:p>
        </w:tc>
        <w:tc>
          <w:tcPr>
            <w:tcW w:w="1249" w:type="dxa"/>
            <w:vAlign w:val="center"/>
          </w:tcPr>
          <w:p w14:paraId="4EA53174" w14:textId="5AE7D9CC" w:rsidR="003C10F6" w:rsidRPr="00E8377F" w:rsidRDefault="000B5D23" w:rsidP="003C10F6">
            <w:pPr>
              <w:jc w:val="center"/>
              <w:rPr>
                <w:rFonts w:cstheme="minorHAnsi"/>
                <w:color w:val="FF0000"/>
                <w:sz w:val="20"/>
                <w:szCs w:val="20"/>
              </w:rPr>
            </w:pPr>
            <w:r>
              <w:rPr>
                <w:rFonts w:cstheme="minorHAnsi"/>
                <w:sz w:val="20"/>
                <w:szCs w:val="20"/>
              </w:rPr>
              <w:t>0.61</w:t>
            </w:r>
          </w:p>
        </w:tc>
      </w:tr>
    </w:tbl>
    <w:p w14:paraId="2EC22818" w14:textId="77777777" w:rsidR="00433243" w:rsidRDefault="00433243" w:rsidP="008D79D0">
      <w:pPr>
        <w:spacing w:after="0"/>
        <w:rPr>
          <w:rFonts w:cstheme="minorHAnsi"/>
          <w:b/>
          <w:bCs/>
        </w:rPr>
      </w:pPr>
    </w:p>
    <w:p w14:paraId="1B34FE5C" w14:textId="77777777" w:rsidR="006B3B92" w:rsidRDefault="006B3B92" w:rsidP="008D79D0">
      <w:pPr>
        <w:spacing w:after="0"/>
        <w:rPr>
          <w:rFonts w:cstheme="minorHAnsi"/>
          <w:b/>
          <w:bCs/>
        </w:rPr>
      </w:pPr>
    </w:p>
    <w:p w14:paraId="7D0DDF77" w14:textId="1DE2A732" w:rsidR="008D79D0" w:rsidRPr="003D07A2" w:rsidRDefault="008D79D0" w:rsidP="008D79D0">
      <w:pPr>
        <w:spacing w:after="0"/>
        <w:rPr>
          <w:rFonts w:cstheme="minorHAnsi"/>
          <w:b/>
          <w:bCs/>
        </w:rPr>
      </w:pPr>
      <w:r w:rsidRPr="003D07A2">
        <w:rPr>
          <w:rFonts w:cstheme="minorHAnsi"/>
          <w:b/>
          <w:bCs/>
        </w:rPr>
        <w:t>Personāls</w:t>
      </w:r>
    </w:p>
    <w:p w14:paraId="1842D211" w14:textId="52E333EE" w:rsidR="000A70AD" w:rsidRPr="003D07A2" w:rsidRDefault="00E56624" w:rsidP="00712DD6">
      <w:pPr>
        <w:spacing w:before="100" w:beforeAutospacing="1" w:after="100" w:afterAutospacing="1"/>
        <w:jc w:val="both"/>
        <w:rPr>
          <w:rFonts w:cstheme="minorHAnsi"/>
        </w:rPr>
      </w:pPr>
      <w:r w:rsidRPr="003D07A2">
        <w:rPr>
          <w:rFonts w:cstheme="minorHAnsi"/>
        </w:rPr>
        <w:t xml:space="preserve">Sabiedrībā pārskata periodā vidēji nodarbināti </w:t>
      </w:r>
      <w:r w:rsidR="00B068D0">
        <w:rPr>
          <w:rFonts w:cstheme="minorHAnsi"/>
        </w:rPr>
        <w:t>5</w:t>
      </w:r>
      <w:r w:rsidR="007C7B05">
        <w:rPr>
          <w:rFonts w:cstheme="minorHAnsi"/>
        </w:rPr>
        <w:t>30</w:t>
      </w:r>
      <w:r w:rsidR="00EE2123">
        <w:rPr>
          <w:rFonts w:cstheme="minorHAnsi"/>
        </w:rPr>
        <w:t xml:space="preserve"> </w:t>
      </w:r>
      <w:r w:rsidRPr="003D07A2">
        <w:rPr>
          <w:rFonts w:cstheme="minorHAnsi"/>
        </w:rPr>
        <w:t xml:space="preserve"> darbinieki, kas ir par </w:t>
      </w:r>
      <w:r w:rsidR="007C7B05">
        <w:rPr>
          <w:rFonts w:cstheme="minorHAnsi"/>
        </w:rPr>
        <w:t>9</w:t>
      </w:r>
      <w:r w:rsidRPr="003D07A2">
        <w:rPr>
          <w:rFonts w:cstheme="minorHAnsi"/>
        </w:rPr>
        <w:t xml:space="preserve"> darbiniek</w:t>
      </w:r>
      <w:r w:rsidR="007C7B05">
        <w:rPr>
          <w:rFonts w:cstheme="minorHAnsi"/>
        </w:rPr>
        <w:t>iem vairāk</w:t>
      </w:r>
      <w:r w:rsidRPr="003D07A2">
        <w:rPr>
          <w:rFonts w:cstheme="minorHAnsi"/>
        </w:rPr>
        <w:t xml:space="preserve"> kā 20</w:t>
      </w:r>
      <w:r w:rsidR="00215612">
        <w:rPr>
          <w:rFonts w:cstheme="minorHAnsi"/>
        </w:rPr>
        <w:t>2</w:t>
      </w:r>
      <w:r w:rsidR="007C7B05">
        <w:rPr>
          <w:rFonts w:cstheme="minorHAnsi"/>
        </w:rPr>
        <w:t>2</w:t>
      </w:r>
      <w:r w:rsidRPr="003D07A2">
        <w:rPr>
          <w:rFonts w:cstheme="minorHAnsi"/>
        </w:rPr>
        <w:t>.gada salīdzināmajā periodā</w:t>
      </w:r>
      <w:r w:rsidR="004A4E51" w:rsidRPr="003D07A2">
        <w:rPr>
          <w:rFonts w:cstheme="minorHAnsi"/>
        </w:rPr>
        <w:t>.</w:t>
      </w:r>
      <w:r w:rsidRPr="003D07A2">
        <w:rPr>
          <w:rFonts w:cstheme="minorHAnsi"/>
        </w:rPr>
        <w:t xml:space="preserve"> Nodarbināto skaits </w:t>
      </w:r>
      <w:r w:rsidR="007C7B05">
        <w:rPr>
          <w:rFonts w:cstheme="minorHAnsi"/>
        </w:rPr>
        <w:t>p</w:t>
      </w:r>
      <w:r w:rsidR="001B57F1">
        <w:rPr>
          <w:rFonts w:cstheme="minorHAnsi"/>
        </w:rPr>
        <w:t>ieaugums</w:t>
      </w:r>
      <w:r w:rsidR="00634040">
        <w:rPr>
          <w:rFonts w:cstheme="minorHAnsi"/>
        </w:rPr>
        <w:t xml:space="preserve"> veidojas</w:t>
      </w:r>
      <w:r w:rsidR="00313B92">
        <w:rPr>
          <w:rFonts w:cstheme="minorHAnsi"/>
        </w:rPr>
        <w:t xml:space="preserve"> gan </w:t>
      </w:r>
      <w:r w:rsidR="00662027">
        <w:rPr>
          <w:rFonts w:cstheme="minorHAnsi"/>
        </w:rPr>
        <w:t>ārstu kategorijā, kur iekļauti funkcionālie speciālisti</w:t>
      </w:r>
      <w:r w:rsidR="00B92594">
        <w:rPr>
          <w:rFonts w:cstheme="minorHAnsi"/>
        </w:rPr>
        <w:t>, gan ārstniecības un pacientu aprūpes atbalsta personāla kategorij</w:t>
      </w:r>
      <w:r w:rsidR="00DD6E22">
        <w:rPr>
          <w:rFonts w:cstheme="minorHAnsi"/>
        </w:rPr>
        <w:t>ā – sanitāru pārklasificēšanās rezultātā , kļūstot par māsu palīgiem.</w:t>
      </w:r>
    </w:p>
    <w:p w14:paraId="56819723" w14:textId="7FD28A1E"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w:t>
      </w:r>
      <w:r w:rsidR="000E4008">
        <w:rPr>
          <w:rFonts w:cstheme="minorHAnsi"/>
        </w:rPr>
        <w:t>2</w:t>
      </w:r>
      <w:r w:rsidRPr="003D07A2">
        <w:rPr>
          <w:rFonts w:cstheme="minorHAnsi"/>
        </w:rPr>
        <w:t xml:space="preserve"> ārstu, </w:t>
      </w:r>
      <w:r w:rsidR="004236A1" w:rsidRPr="003D07A2">
        <w:rPr>
          <w:rFonts w:cstheme="minorHAnsi"/>
        </w:rPr>
        <w:t xml:space="preserve">tai skaitā </w:t>
      </w:r>
      <w:r w:rsidR="007E387F">
        <w:rPr>
          <w:rFonts w:cstheme="minorHAnsi"/>
        </w:rPr>
        <w:t>16.98</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C65E7A">
        <w:rPr>
          <w:rFonts w:cstheme="minorHAnsi"/>
        </w:rPr>
        <w:t>6</w:t>
      </w:r>
      <w:r w:rsidR="00BA1E07" w:rsidRPr="003D07A2">
        <w:rPr>
          <w:rFonts w:cstheme="minorHAnsi"/>
        </w:rPr>
        <w:t xml:space="preserve"> māsu slodzes; </w:t>
      </w:r>
      <w:r w:rsidR="00C65E7A">
        <w:rPr>
          <w:rFonts w:cstheme="minorHAnsi"/>
        </w:rPr>
        <w:t>9</w:t>
      </w:r>
      <w:r w:rsidR="00937CAF">
        <w:rPr>
          <w:rFonts w:cstheme="minorHAnsi"/>
        </w:rPr>
        <w:t>4</w:t>
      </w:r>
      <w:r w:rsidR="00BA1E07" w:rsidRPr="003D07A2">
        <w:rPr>
          <w:rFonts w:cstheme="minorHAnsi"/>
        </w:rPr>
        <w:t xml:space="preserve"> māsu palīgu slodzes; 1</w:t>
      </w:r>
      <w:r w:rsidR="00C65E7A">
        <w:rPr>
          <w:rFonts w:cstheme="minorHAnsi"/>
        </w:rPr>
        <w:t>7</w:t>
      </w:r>
      <w:r w:rsidR="00BA1E07" w:rsidRPr="003D07A2">
        <w:rPr>
          <w:rFonts w:cstheme="minorHAnsi"/>
        </w:rPr>
        <w:t xml:space="preserve"> administratīvā personāla slodzes; 2</w:t>
      </w:r>
      <w:r w:rsidR="00C65E7A">
        <w:rPr>
          <w:rFonts w:cstheme="minorHAnsi"/>
        </w:rPr>
        <w:t>14</w:t>
      </w:r>
      <w:r w:rsidR="00BA1E07" w:rsidRPr="003D07A2">
        <w:rPr>
          <w:rFonts w:cstheme="minorHAnsi"/>
        </w:rPr>
        <w:t xml:space="preserve"> pārējo darbinieku slodzes. Salīdzinoši ar 20</w:t>
      </w:r>
      <w:r w:rsidR="00937CAF">
        <w:rPr>
          <w:rFonts w:cstheme="minorHAnsi"/>
        </w:rPr>
        <w:t>2</w:t>
      </w:r>
      <w:r w:rsidR="00C65E7A">
        <w:rPr>
          <w:rFonts w:cstheme="minorHAnsi"/>
        </w:rPr>
        <w:t>2</w:t>
      </w:r>
      <w:r w:rsidR="00BA1E07" w:rsidRPr="003D07A2">
        <w:rPr>
          <w:rFonts w:cstheme="minorHAnsi"/>
        </w:rPr>
        <w:t xml:space="preserve">. gadu </w:t>
      </w:r>
      <w:r w:rsidR="00212DA5">
        <w:rPr>
          <w:rFonts w:cstheme="minorHAnsi"/>
        </w:rPr>
        <w:t>- vairāk</w:t>
      </w:r>
      <w:r w:rsidR="00BA1E07" w:rsidRPr="003D07A2">
        <w:rPr>
          <w:rFonts w:cstheme="minorHAnsi"/>
        </w:rPr>
        <w:t xml:space="preserve"> par </w:t>
      </w:r>
      <w:r w:rsidR="00212DA5">
        <w:rPr>
          <w:rFonts w:cstheme="minorHAnsi"/>
        </w:rPr>
        <w:t>5</w:t>
      </w:r>
      <w:r w:rsidR="00BA1E07" w:rsidRPr="003D07A2">
        <w:rPr>
          <w:rFonts w:cstheme="minorHAnsi"/>
        </w:rPr>
        <w:t xml:space="preserve"> slodzēm, bet attiecīgi pret plānoto – mazāk par </w:t>
      </w:r>
      <w:r w:rsidR="00212DA5">
        <w:rPr>
          <w:rFonts w:cstheme="minorHAnsi"/>
        </w:rPr>
        <w:t>4</w:t>
      </w:r>
      <w:r w:rsidR="00BA1E07" w:rsidRPr="003D07A2">
        <w:rPr>
          <w:rFonts w:cstheme="minorHAnsi"/>
        </w:rPr>
        <w:t xml:space="preserve"> slodzēm.</w:t>
      </w:r>
    </w:p>
    <w:p w14:paraId="44900610" w14:textId="40F4A409"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B42CF1">
        <w:rPr>
          <w:rFonts w:cstheme="minorHAnsi"/>
        </w:rPr>
        <w:t>4</w:t>
      </w:r>
      <w:r w:rsidRPr="003D07A2">
        <w:rPr>
          <w:rFonts w:cstheme="minorHAnsi"/>
        </w:rPr>
        <w:t xml:space="preserve">%, kas ir par </w:t>
      </w:r>
      <w:r w:rsidR="00B42CF1">
        <w:rPr>
          <w:rFonts w:cstheme="minorHAnsi"/>
        </w:rPr>
        <w:t>1</w:t>
      </w:r>
      <w:r w:rsidRPr="003D07A2">
        <w:rPr>
          <w:rFonts w:cstheme="minorHAnsi"/>
        </w:rPr>
        <w:t xml:space="preserve">% </w:t>
      </w:r>
      <w:r w:rsidR="00E9187E">
        <w:rPr>
          <w:rFonts w:cstheme="minorHAnsi"/>
        </w:rPr>
        <w:t>mazāk</w:t>
      </w:r>
      <w:r w:rsidRPr="003D07A2">
        <w:rPr>
          <w:rFonts w:cstheme="minorHAnsi"/>
        </w:rPr>
        <w:t xml:space="preserve"> kā 20</w:t>
      </w:r>
      <w:r w:rsidR="00937CAF">
        <w:rPr>
          <w:rFonts w:cstheme="minorHAnsi"/>
        </w:rPr>
        <w:t>2</w:t>
      </w:r>
      <w:r w:rsidR="00B42CF1">
        <w:rPr>
          <w:rFonts w:cstheme="minorHAnsi"/>
        </w:rPr>
        <w:t>2</w:t>
      </w:r>
      <w:r w:rsidRPr="003D07A2">
        <w:rPr>
          <w:rFonts w:cstheme="minorHAnsi"/>
        </w:rPr>
        <w:t>. gadā.</w:t>
      </w:r>
    </w:p>
    <w:p w14:paraId="64456050" w14:textId="499A030D" w:rsidR="00BA1E07" w:rsidRPr="003D07A2" w:rsidRDefault="00BA1E07" w:rsidP="00712DD6">
      <w:pPr>
        <w:spacing w:before="100" w:beforeAutospacing="1" w:after="100" w:afterAutospacing="1"/>
        <w:jc w:val="both"/>
        <w:rPr>
          <w:rFonts w:cstheme="minorHAnsi"/>
        </w:rPr>
      </w:pPr>
      <w:r w:rsidRPr="003D07A2">
        <w:rPr>
          <w:rFonts w:cstheme="minorHAnsi"/>
        </w:rPr>
        <w:lastRenderedPageBreak/>
        <w:t xml:space="preserve">Pārskata periodā Sabiedrība nodrošināja vidējo darba samaksu </w:t>
      </w:r>
      <w:r w:rsidR="00E266CF">
        <w:rPr>
          <w:rFonts w:cstheme="minorHAnsi"/>
        </w:rPr>
        <w:t>1347</w:t>
      </w:r>
      <w:r w:rsidRPr="003D07A2">
        <w:rPr>
          <w:rFonts w:cstheme="minorHAnsi"/>
        </w:rPr>
        <w:t xml:space="preserve"> euro apmērā, kas ir par </w:t>
      </w:r>
      <w:r w:rsidR="00DF66EB">
        <w:rPr>
          <w:rFonts w:cstheme="minorHAnsi"/>
        </w:rPr>
        <w:t>73</w:t>
      </w:r>
      <w:r w:rsidRPr="003D07A2">
        <w:rPr>
          <w:rFonts w:cstheme="minorHAnsi"/>
        </w:rPr>
        <w:t xml:space="preserve"> euro </w:t>
      </w:r>
      <w:r w:rsidR="00EE67D7">
        <w:rPr>
          <w:rFonts w:cstheme="minorHAnsi"/>
        </w:rPr>
        <w:t>mazāk</w:t>
      </w:r>
      <w:r w:rsidRPr="003D07A2">
        <w:rPr>
          <w:rFonts w:cstheme="minorHAnsi"/>
        </w:rPr>
        <w:t xml:space="preserve"> kā 20</w:t>
      </w:r>
      <w:r w:rsidR="00937CAF">
        <w:rPr>
          <w:rFonts w:cstheme="minorHAnsi"/>
        </w:rPr>
        <w:t>2</w:t>
      </w:r>
      <w:r w:rsidR="00EE67D7">
        <w:rPr>
          <w:rFonts w:cstheme="minorHAnsi"/>
        </w:rPr>
        <w:t>2</w:t>
      </w:r>
      <w:r w:rsidRPr="003D07A2">
        <w:rPr>
          <w:rFonts w:cstheme="minorHAnsi"/>
        </w:rPr>
        <w:t>.gada periodā</w:t>
      </w:r>
      <w:r w:rsidR="00EE67D7">
        <w:rPr>
          <w:rFonts w:cstheme="minorHAnsi"/>
        </w:rPr>
        <w:t xml:space="preserve">, iekļaujot Covid-19 piemaksas, </w:t>
      </w:r>
      <w:r w:rsidR="00090ACE">
        <w:rPr>
          <w:rFonts w:cstheme="minorHAnsi"/>
        </w:rPr>
        <w:t>par 131 euro vairāk, neiekļaujot Covid-19 piemaksas.</w:t>
      </w:r>
      <w:r w:rsidRPr="003D07A2">
        <w:rPr>
          <w:rFonts w:cstheme="minorHAnsi"/>
        </w:rPr>
        <w:t xml:space="preserve"> </w:t>
      </w:r>
      <w:r w:rsidR="004615DB">
        <w:rPr>
          <w:rFonts w:cstheme="minorHAnsi"/>
        </w:rPr>
        <w:t>Novirze no budžeta plāna  ir nenozīmīga</w:t>
      </w:r>
      <w:r w:rsidR="00D70DED">
        <w:rPr>
          <w:rFonts w:cstheme="minorHAnsi"/>
        </w:rPr>
        <w:t xml:space="preserve"> -</w:t>
      </w:r>
      <w:r w:rsidR="004615DB">
        <w:rPr>
          <w:rFonts w:cstheme="minorHAnsi"/>
        </w:rPr>
        <w:t xml:space="preserve"> 46 euro maz</w:t>
      </w:r>
      <w:r w:rsidR="00D70DED">
        <w:rPr>
          <w:rFonts w:cstheme="minorHAnsi"/>
        </w:rPr>
        <w:t>āk.</w:t>
      </w:r>
    </w:p>
    <w:p w14:paraId="37EF4F75" w14:textId="1161A558" w:rsidR="00316600" w:rsidRPr="003D07A2" w:rsidRDefault="00E8039B" w:rsidP="00712DD6">
      <w:pPr>
        <w:spacing w:before="100" w:beforeAutospacing="1" w:after="100" w:afterAutospacing="1"/>
        <w:jc w:val="both"/>
        <w:rPr>
          <w:rFonts w:cstheme="minorHAnsi"/>
        </w:rPr>
      </w:pPr>
      <w:r>
        <w:rPr>
          <w:rFonts w:cstheme="minorHAnsi"/>
        </w:rPr>
        <w:t xml:space="preserve">Sabiedrībai summētā darba laikā nodarbinātajiem izlīdzinātais uzskaites pārskata periods ir 4 mēneši, līdz ar to </w:t>
      </w:r>
      <w:r w:rsidR="00FC13C2">
        <w:rPr>
          <w:rFonts w:cstheme="minorHAnsi"/>
        </w:rPr>
        <w:t>1.ceturksnī virsstundas nav aprēķinātas.</w:t>
      </w:r>
      <w:r w:rsidR="004206BB">
        <w:rPr>
          <w:rFonts w:cstheme="minorHAnsi"/>
        </w:rPr>
        <w:t xml:space="preserve"> </w:t>
      </w:r>
      <w:r w:rsidR="0071130D">
        <w:rPr>
          <w:rFonts w:cstheme="minorHAnsi"/>
        </w:rPr>
        <w:t>Darbiniekiem, kuriem nav saistošs izlīdzinātais pārskata periods</w:t>
      </w:r>
      <w:r w:rsidR="00B71FF4">
        <w:rPr>
          <w:rFonts w:cstheme="minorHAnsi"/>
        </w:rPr>
        <w:t>,</w:t>
      </w:r>
      <w:r w:rsidR="0071130D">
        <w:rPr>
          <w:rFonts w:cstheme="minorHAnsi"/>
        </w:rPr>
        <w:t xml:space="preserve"> apmaksātas 3 virsstundas.</w:t>
      </w:r>
    </w:p>
    <w:p w14:paraId="00AB455C" w14:textId="1F5A69D9" w:rsidR="001F17FA" w:rsidRPr="003D07A2" w:rsidRDefault="001F17FA" w:rsidP="00712DD6">
      <w:pPr>
        <w:spacing w:before="100" w:beforeAutospacing="1" w:after="100" w:afterAutospacing="1"/>
        <w:jc w:val="both"/>
        <w:rPr>
          <w:rFonts w:cstheme="minorHAnsi"/>
        </w:rPr>
      </w:pPr>
      <w:r w:rsidRPr="003D07A2">
        <w:rPr>
          <w:rFonts w:cstheme="minorHAnsi"/>
        </w:rPr>
        <w:t>Izdevumi atalgojumam pārskata period</w:t>
      </w:r>
      <w:r w:rsidR="0045080D">
        <w:rPr>
          <w:rFonts w:cstheme="minorHAnsi"/>
        </w:rPr>
        <w:t>ā</w:t>
      </w:r>
      <w:r w:rsidR="009F3DBA">
        <w:rPr>
          <w:rFonts w:cstheme="minorHAnsi"/>
        </w:rPr>
        <w:t xml:space="preserve"> ir tuvu plānotajam- kopumā neizpilde ir 7633 euro.</w:t>
      </w:r>
      <w:r w:rsidRPr="003D07A2">
        <w:rPr>
          <w:rFonts w:cstheme="minorHAnsi"/>
        </w:rPr>
        <w:t xml:space="preserve"> </w:t>
      </w:r>
      <w:r w:rsidR="009F3DBA">
        <w:rPr>
          <w:rFonts w:cstheme="minorHAnsi"/>
        </w:rPr>
        <w:t>Joprojām būt</w:t>
      </w:r>
      <w:r w:rsidR="00006A2B">
        <w:rPr>
          <w:rFonts w:cstheme="minorHAnsi"/>
        </w:rPr>
        <w:t xml:space="preserve">iska nozīme ir darbinieku </w:t>
      </w:r>
      <w:r w:rsidRPr="003D07A2">
        <w:rPr>
          <w:rFonts w:cstheme="minorHAnsi"/>
        </w:rPr>
        <w:t xml:space="preserve"> darba nespēj</w:t>
      </w:r>
      <w:r w:rsidR="00006A2B">
        <w:rPr>
          <w:rFonts w:cstheme="minorHAnsi"/>
        </w:rPr>
        <w:t>ai</w:t>
      </w:r>
      <w:r w:rsidRPr="003D07A2">
        <w:rPr>
          <w:rFonts w:cstheme="minorHAnsi"/>
        </w:rPr>
        <w:t xml:space="preserve"> </w:t>
      </w:r>
      <w:r w:rsidR="00712DD6" w:rsidRPr="003D07A2">
        <w:rPr>
          <w:rFonts w:cstheme="minorHAnsi"/>
        </w:rPr>
        <w:t xml:space="preserve">– </w:t>
      </w:r>
      <w:r w:rsidRPr="003D07A2">
        <w:rPr>
          <w:rFonts w:cstheme="minorHAnsi"/>
        </w:rPr>
        <w:t xml:space="preserve">pārskata periodā kopā </w:t>
      </w:r>
      <w:r w:rsidR="0069025A">
        <w:rPr>
          <w:rFonts w:cstheme="minorHAnsi"/>
        </w:rPr>
        <w:t>10 526.6 h</w:t>
      </w:r>
      <w:r w:rsidRPr="003D07A2">
        <w:rPr>
          <w:rFonts w:cstheme="minorHAnsi"/>
        </w:rPr>
        <w:t xml:space="preserve"> B lapas (</w:t>
      </w:r>
      <w:r w:rsidR="001274D0">
        <w:rPr>
          <w:rFonts w:cstheme="minorHAnsi"/>
        </w:rPr>
        <w:t>2022.gadā – 27 846.8</w:t>
      </w:r>
      <w:r w:rsidR="0069025A">
        <w:rPr>
          <w:rFonts w:cstheme="minorHAnsi"/>
        </w:rPr>
        <w:t xml:space="preserve">h; </w:t>
      </w:r>
      <w:r w:rsidR="001B6F79">
        <w:rPr>
          <w:rFonts w:cstheme="minorHAnsi"/>
        </w:rPr>
        <w:t xml:space="preserve">2021.gadā – 30 401 h; </w:t>
      </w:r>
      <w:r w:rsidRPr="003D07A2">
        <w:rPr>
          <w:rFonts w:cstheme="minorHAnsi"/>
        </w:rPr>
        <w:t>20</w:t>
      </w:r>
      <w:r w:rsidR="00937CAF">
        <w:rPr>
          <w:rFonts w:cstheme="minorHAnsi"/>
        </w:rPr>
        <w:t>20</w:t>
      </w:r>
      <w:r w:rsidRPr="003D07A2">
        <w:rPr>
          <w:rFonts w:cstheme="minorHAnsi"/>
        </w:rPr>
        <w:t>.gadā -</w:t>
      </w:r>
      <w:r w:rsidR="00937CAF">
        <w:rPr>
          <w:rFonts w:cstheme="minorHAnsi"/>
        </w:rPr>
        <w:t>12492.5</w:t>
      </w:r>
      <w:r w:rsidRPr="003D07A2">
        <w:rPr>
          <w:rFonts w:cstheme="minorHAnsi"/>
        </w:rPr>
        <w:t xml:space="preserve"> h).</w:t>
      </w:r>
    </w:p>
    <w:p w14:paraId="5058EE26" w14:textId="67119523" w:rsidR="00603C3A" w:rsidRPr="003D07A2" w:rsidRDefault="00603C3A" w:rsidP="00712DD6">
      <w:pPr>
        <w:spacing w:before="100" w:beforeAutospacing="1" w:after="100" w:afterAutospacing="1"/>
        <w:jc w:val="center"/>
        <w:rPr>
          <w:rFonts w:cstheme="minorHAnsi"/>
          <w:b/>
          <w:bCs/>
        </w:rPr>
      </w:pPr>
      <w:r w:rsidRPr="003D07A2">
        <w:rPr>
          <w:rFonts w:cstheme="minorHAnsi"/>
          <w:b/>
          <w:bCs/>
        </w:rPr>
        <w:t>Vidējā darba samaksa, euro uz slodzi</w:t>
      </w:r>
    </w:p>
    <w:tbl>
      <w:tblPr>
        <w:tblStyle w:val="Reatabula"/>
        <w:tblW w:w="8914" w:type="dxa"/>
        <w:tblLayout w:type="fixed"/>
        <w:tblLook w:val="04A0" w:firstRow="1" w:lastRow="0" w:firstColumn="1" w:lastColumn="0" w:noHBand="0" w:noVBand="1"/>
      </w:tblPr>
      <w:tblGrid>
        <w:gridCol w:w="3064"/>
        <w:gridCol w:w="1326"/>
        <w:gridCol w:w="1167"/>
        <w:gridCol w:w="1242"/>
        <w:gridCol w:w="1088"/>
        <w:gridCol w:w="1027"/>
      </w:tblGrid>
      <w:tr w:rsidR="009450CD" w:rsidRPr="003D07A2" w14:paraId="14F426FB" w14:textId="77777777" w:rsidTr="005165B4">
        <w:trPr>
          <w:trHeight w:val="844"/>
        </w:trPr>
        <w:tc>
          <w:tcPr>
            <w:tcW w:w="3064" w:type="dxa"/>
            <w:vAlign w:val="center"/>
          </w:tcPr>
          <w:p w14:paraId="7EB4F6DA" w14:textId="77777777" w:rsidR="009450CD" w:rsidRPr="003D07A2" w:rsidRDefault="009450CD" w:rsidP="00E13DEA">
            <w:pPr>
              <w:jc w:val="center"/>
              <w:rPr>
                <w:rFonts w:cstheme="minorHAnsi"/>
              </w:rPr>
            </w:pPr>
            <w:r w:rsidRPr="003D07A2">
              <w:rPr>
                <w:rFonts w:cstheme="minorHAnsi"/>
              </w:rPr>
              <w:t>Darbinieku kategorija</w:t>
            </w:r>
          </w:p>
        </w:tc>
        <w:tc>
          <w:tcPr>
            <w:tcW w:w="1326" w:type="dxa"/>
            <w:vAlign w:val="center"/>
          </w:tcPr>
          <w:p w14:paraId="1B54821B" w14:textId="69506C32" w:rsidR="009450CD" w:rsidRPr="003D07A2" w:rsidRDefault="009450CD" w:rsidP="00E13DEA">
            <w:pPr>
              <w:jc w:val="center"/>
              <w:rPr>
                <w:rFonts w:cstheme="minorHAnsi"/>
                <w:sz w:val="18"/>
                <w:szCs w:val="18"/>
              </w:rPr>
            </w:pPr>
            <w:r w:rsidRPr="003D07A2">
              <w:rPr>
                <w:rFonts w:cstheme="minorHAnsi"/>
                <w:sz w:val="18"/>
                <w:szCs w:val="18"/>
              </w:rPr>
              <w:t>202</w:t>
            </w:r>
            <w:r>
              <w:rPr>
                <w:rFonts w:cstheme="minorHAnsi"/>
                <w:sz w:val="18"/>
                <w:szCs w:val="18"/>
              </w:rPr>
              <w:t>2</w:t>
            </w:r>
            <w:r w:rsidRPr="003D07A2">
              <w:rPr>
                <w:rFonts w:cstheme="minorHAnsi"/>
                <w:sz w:val="18"/>
                <w:szCs w:val="18"/>
              </w:rPr>
              <w:t>.gada fakts</w:t>
            </w:r>
            <w:r>
              <w:rPr>
                <w:rFonts w:cstheme="minorHAnsi"/>
                <w:sz w:val="18"/>
                <w:szCs w:val="18"/>
              </w:rPr>
              <w:t>/bez covid piemaksām</w:t>
            </w:r>
          </w:p>
        </w:tc>
        <w:tc>
          <w:tcPr>
            <w:tcW w:w="1167" w:type="dxa"/>
            <w:vAlign w:val="center"/>
          </w:tcPr>
          <w:p w14:paraId="5FA91851" w14:textId="681AB8D4" w:rsidR="009450CD" w:rsidRPr="003D07A2" w:rsidRDefault="009450CD" w:rsidP="00E13DEA">
            <w:pPr>
              <w:jc w:val="center"/>
              <w:rPr>
                <w:rFonts w:cstheme="minorHAnsi"/>
                <w:sz w:val="18"/>
                <w:szCs w:val="18"/>
              </w:rPr>
            </w:pPr>
            <w:r w:rsidRPr="003D07A2">
              <w:rPr>
                <w:rFonts w:cstheme="minorHAnsi"/>
                <w:sz w:val="18"/>
                <w:szCs w:val="18"/>
              </w:rPr>
              <w:t>202</w:t>
            </w:r>
            <w:r>
              <w:rPr>
                <w:rFonts w:cstheme="minorHAnsi"/>
                <w:sz w:val="18"/>
                <w:szCs w:val="18"/>
              </w:rPr>
              <w:t>3</w:t>
            </w:r>
            <w:r w:rsidRPr="003D07A2">
              <w:rPr>
                <w:rFonts w:cstheme="minorHAnsi"/>
                <w:sz w:val="18"/>
                <w:szCs w:val="18"/>
              </w:rPr>
              <w:t xml:space="preserve">.gada </w:t>
            </w:r>
            <w:r>
              <w:rPr>
                <w:rFonts w:cstheme="minorHAnsi"/>
                <w:sz w:val="18"/>
                <w:szCs w:val="18"/>
              </w:rPr>
              <w:t>plāns</w:t>
            </w:r>
          </w:p>
        </w:tc>
        <w:tc>
          <w:tcPr>
            <w:tcW w:w="1242" w:type="dxa"/>
            <w:vAlign w:val="center"/>
          </w:tcPr>
          <w:p w14:paraId="7516CE70" w14:textId="262E1952" w:rsidR="009450CD" w:rsidRPr="003D07A2" w:rsidRDefault="009450CD" w:rsidP="00E13DEA">
            <w:pPr>
              <w:jc w:val="center"/>
              <w:rPr>
                <w:rFonts w:cstheme="minorHAnsi"/>
                <w:sz w:val="18"/>
                <w:szCs w:val="18"/>
              </w:rPr>
            </w:pPr>
            <w:r w:rsidRPr="003D07A2">
              <w:rPr>
                <w:rFonts w:cstheme="minorHAnsi"/>
                <w:sz w:val="18"/>
                <w:szCs w:val="18"/>
              </w:rPr>
              <w:t>202</w:t>
            </w:r>
            <w:r>
              <w:rPr>
                <w:rFonts w:cstheme="minorHAnsi"/>
                <w:sz w:val="18"/>
                <w:szCs w:val="18"/>
              </w:rPr>
              <w:t>3</w:t>
            </w:r>
            <w:r w:rsidRPr="003D07A2">
              <w:rPr>
                <w:rFonts w:cstheme="minorHAnsi"/>
                <w:sz w:val="18"/>
                <w:szCs w:val="18"/>
              </w:rPr>
              <w:t>.gada fakts</w:t>
            </w:r>
          </w:p>
        </w:tc>
        <w:tc>
          <w:tcPr>
            <w:tcW w:w="1088" w:type="dxa"/>
            <w:vAlign w:val="center"/>
          </w:tcPr>
          <w:p w14:paraId="06FA97ED" w14:textId="58E29B2B" w:rsidR="009450CD" w:rsidRPr="003D07A2" w:rsidRDefault="009450CD" w:rsidP="005165B4">
            <w:pPr>
              <w:jc w:val="center"/>
              <w:rPr>
                <w:rFonts w:cstheme="minorHAnsi"/>
                <w:sz w:val="18"/>
                <w:szCs w:val="18"/>
              </w:rPr>
            </w:pPr>
            <w:r w:rsidRPr="003D07A2">
              <w:rPr>
                <w:rFonts w:cstheme="minorHAnsi"/>
                <w:sz w:val="18"/>
                <w:szCs w:val="18"/>
              </w:rPr>
              <w:t>MK not.Nr. 555, tarifā</w:t>
            </w:r>
            <w:r w:rsidR="0018133E">
              <w:rPr>
                <w:rFonts w:cstheme="minorHAnsi"/>
                <w:sz w:val="18"/>
                <w:szCs w:val="18"/>
              </w:rPr>
              <w:t xml:space="preserve"> </w:t>
            </w:r>
            <w:r w:rsidR="002F6693">
              <w:rPr>
                <w:rFonts w:cstheme="minorHAnsi"/>
                <w:sz w:val="18"/>
                <w:szCs w:val="18"/>
              </w:rPr>
              <w:t>līdz</w:t>
            </w:r>
            <w:r w:rsidR="0018133E">
              <w:rPr>
                <w:rFonts w:cstheme="minorHAnsi"/>
                <w:sz w:val="18"/>
                <w:szCs w:val="18"/>
              </w:rPr>
              <w:t xml:space="preserve"> 01.04.2023</w:t>
            </w:r>
          </w:p>
        </w:tc>
        <w:tc>
          <w:tcPr>
            <w:tcW w:w="1027" w:type="dxa"/>
            <w:vAlign w:val="center"/>
          </w:tcPr>
          <w:p w14:paraId="56A30EAD" w14:textId="491EEA42" w:rsidR="009450CD" w:rsidRPr="003D07A2" w:rsidRDefault="009450CD" w:rsidP="00E13DEA">
            <w:pPr>
              <w:jc w:val="center"/>
              <w:rPr>
                <w:rFonts w:cstheme="minorHAnsi"/>
                <w:sz w:val="18"/>
                <w:szCs w:val="18"/>
              </w:rPr>
            </w:pPr>
            <w:r w:rsidRPr="003D07A2">
              <w:rPr>
                <w:rFonts w:cstheme="minorHAnsi"/>
                <w:sz w:val="18"/>
                <w:szCs w:val="18"/>
              </w:rPr>
              <w:t>Novirze pret 20</w:t>
            </w:r>
            <w:r>
              <w:rPr>
                <w:rFonts w:cstheme="minorHAnsi"/>
                <w:sz w:val="18"/>
                <w:szCs w:val="18"/>
              </w:rPr>
              <w:t>22</w:t>
            </w:r>
            <w:r w:rsidRPr="003D07A2">
              <w:rPr>
                <w:rFonts w:cstheme="minorHAnsi"/>
                <w:sz w:val="18"/>
                <w:szCs w:val="18"/>
              </w:rPr>
              <w:t>.g.</w:t>
            </w:r>
            <w:r w:rsidR="005165B4">
              <w:rPr>
                <w:rFonts w:cstheme="minorHAnsi"/>
                <w:sz w:val="18"/>
                <w:szCs w:val="18"/>
              </w:rPr>
              <w:t>(bez covid piemaksām)</w:t>
            </w:r>
          </w:p>
        </w:tc>
      </w:tr>
      <w:tr w:rsidR="009450CD" w:rsidRPr="003D07A2" w14:paraId="12EBCEF8" w14:textId="77777777" w:rsidTr="005165B4">
        <w:trPr>
          <w:trHeight w:val="429"/>
        </w:trPr>
        <w:tc>
          <w:tcPr>
            <w:tcW w:w="3064" w:type="dxa"/>
          </w:tcPr>
          <w:p w14:paraId="758825ED" w14:textId="77777777" w:rsidR="009450CD" w:rsidRPr="003D07A2" w:rsidRDefault="009450CD" w:rsidP="00E13DEA">
            <w:pPr>
              <w:rPr>
                <w:rFonts w:cstheme="minorHAnsi"/>
              </w:rPr>
            </w:pPr>
            <w:r w:rsidRPr="003D07A2">
              <w:rPr>
                <w:rFonts w:cstheme="minorHAnsi"/>
              </w:rPr>
              <w:t>Ārsti, tai skaitā funkcionālie speciālisti</w:t>
            </w:r>
          </w:p>
        </w:tc>
        <w:tc>
          <w:tcPr>
            <w:tcW w:w="1326" w:type="dxa"/>
          </w:tcPr>
          <w:p w14:paraId="65F9C5BF" w14:textId="4D53A503" w:rsidR="009450CD" w:rsidRDefault="009450CD" w:rsidP="00E13DEA">
            <w:pPr>
              <w:jc w:val="center"/>
              <w:rPr>
                <w:rFonts w:cstheme="minorHAnsi"/>
              </w:rPr>
            </w:pPr>
            <w:r>
              <w:rPr>
                <w:rFonts w:cstheme="minorHAnsi"/>
              </w:rPr>
              <w:t>2869/2423</w:t>
            </w:r>
          </w:p>
        </w:tc>
        <w:tc>
          <w:tcPr>
            <w:tcW w:w="1167" w:type="dxa"/>
          </w:tcPr>
          <w:p w14:paraId="121C840A" w14:textId="440FF2F0" w:rsidR="009450CD" w:rsidRPr="003D07A2" w:rsidRDefault="001F6102" w:rsidP="00E13DEA">
            <w:pPr>
              <w:jc w:val="center"/>
              <w:rPr>
                <w:rFonts w:cstheme="minorHAnsi"/>
              </w:rPr>
            </w:pPr>
            <w:r>
              <w:rPr>
                <w:rFonts w:cstheme="minorHAnsi"/>
              </w:rPr>
              <w:t>2813</w:t>
            </w:r>
          </w:p>
        </w:tc>
        <w:tc>
          <w:tcPr>
            <w:tcW w:w="1242" w:type="dxa"/>
          </w:tcPr>
          <w:p w14:paraId="6B022071" w14:textId="2E06B5B4" w:rsidR="009450CD" w:rsidRPr="003D07A2" w:rsidRDefault="00F91AFE" w:rsidP="00E13DEA">
            <w:pPr>
              <w:jc w:val="center"/>
              <w:rPr>
                <w:rFonts w:cstheme="minorHAnsi"/>
              </w:rPr>
            </w:pPr>
            <w:r>
              <w:rPr>
                <w:rFonts w:cstheme="minorHAnsi"/>
              </w:rPr>
              <w:t>2746</w:t>
            </w:r>
          </w:p>
        </w:tc>
        <w:tc>
          <w:tcPr>
            <w:tcW w:w="1088" w:type="dxa"/>
          </w:tcPr>
          <w:p w14:paraId="4BA3715B" w14:textId="76B59601" w:rsidR="009450CD" w:rsidRPr="003D07A2" w:rsidRDefault="002F6693" w:rsidP="00E13DEA">
            <w:pPr>
              <w:jc w:val="center"/>
              <w:rPr>
                <w:rFonts w:cstheme="minorHAnsi"/>
              </w:rPr>
            </w:pPr>
            <w:r>
              <w:rPr>
                <w:rFonts w:cstheme="minorHAnsi"/>
              </w:rPr>
              <w:t>1963</w:t>
            </w:r>
          </w:p>
        </w:tc>
        <w:tc>
          <w:tcPr>
            <w:tcW w:w="1027" w:type="dxa"/>
          </w:tcPr>
          <w:p w14:paraId="584095E3" w14:textId="48A048B5" w:rsidR="009450CD" w:rsidRPr="003D07A2" w:rsidRDefault="005165B4" w:rsidP="00E13DEA">
            <w:pPr>
              <w:jc w:val="center"/>
              <w:rPr>
                <w:rFonts w:cstheme="minorHAnsi"/>
              </w:rPr>
            </w:pPr>
            <w:r>
              <w:rPr>
                <w:rFonts w:cstheme="minorHAnsi"/>
              </w:rPr>
              <w:t>+323</w:t>
            </w:r>
          </w:p>
        </w:tc>
      </w:tr>
      <w:tr w:rsidR="009450CD" w:rsidRPr="003D07A2" w14:paraId="650F1022" w14:textId="77777777" w:rsidTr="005165B4">
        <w:trPr>
          <w:trHeight w:val="414"/>
        </w:trPr>
        <w:tc>
          <w:tcPr>
            <w:tcW w:w="3064" w:type="dxa"/>
          </w:tcPr>
          <w:p w14:paraId="7B6FBD88" w14:textId="77777777" w:rsidR="009450CD" w:rsidRPr="003D07A2" w:rsidRDefault="009450CD" w:rsidP="00E13DEA">
            <w:pPr>
              <w:rPr>
                <w:rFonts w:cstheme="minorHAnsi"/>
              </w:rPr>
            </w:pPr>
            <w:r w:rsidRPr="003D07A2">
              <w:rPr>
                <w:rFonts w:cstheme="minorHAnsi"/>
              </w:rPr>
              <w:t>Ārstniecības un pacientu aprūpes personāls</w:t>
            </w:r>
          </w:p>
        </w:tc>
        <w:tc>
          <w:tcPr>
            <w:tcW w:w="1326" w:type="dxa"/>
          </w:tcPr>
          <w:p w14:paraId="3120C3B6" w14:textId="1CEE3EAE" w:rsidR="009450CD" w:rsidRDefault="009450CD" w:rsidP="00E13DEA">
            <w:pPr>
              <w:jc w:val="center"/>
              <w:rPr>
                <w:rFonts w:cstheme="minorHAnsi"/>
              </w:rPr>
            </w:pPr>
            <w:r>
              <w:rPr>
                <w:rFonts w:cstheme="minorHAnsi"/>
              </w:rPr>
              <w:t>1941/1552</w:t>
            </w:r>
          </w:p>
        </w:tc>
        <w:tc>
          <w:tcPr>
            <w:tcW w:w="1167" w:type="dxa"/>
          </w:tcPr>
          <w:p w14:paraId="569E580A" w14:textId="2F568016" w:rsidR="009450CD" w:rsidRPr="003D07A2" w:rsidRDefault="001F6102" w:rsidP="00E13DEA">
            <w:pPr>
              <w:jc w:val="center"/>
              <w:rPr>
                <w:rFonts w:cstheme="minorHAnsi"/>
              </w:rPr>
            </w:pPr>
            <w:r>
              <w:rPr>
                <w:rFonts w:cstheme="minorHAnsi"/>
              </w:rPr>
              <w:t>1665</w:t>
            </w:r>
          </w:p>
        </w:tc>
        <w:tc>
          <w:tcPr>
            <w:tcW w:w="1242" w:type="dxa"/>
          </w:tcPr>
          <w:p w14:paraId="13A4584B" w14:textId="334DD916" w:rsidR="009450CD" w:rsidRPr="003D07A2" w:rsidRDefault="00F91AFE" w:rsidP="00E13DEA">
            <w:pPr>
              <w:jc w:val="center"/>
              <w:rPr>
                <w:rFonts w:cstheme="minorHAnsi"/>
              </w:rPr>
            </w:pPr>
            <w:r>
              <w:rPr>
                <w:rFonts w:cstheme="minorHAnsi"/>
              </w:rPr>
              <w:t>1652</w:t>
            </w:r>
          </w:p>
        </w:tc>
        <w:tc>
          <w:tcPr>
            <w:tcW w:w="1088" w:type="dxa"/>
          </w:tcPr>
          <w:p w14:paraId="22DBF4DD" w14:textId="7F7B8E29" w:rsidR="009450CD" w:rsidRPr="003D07A2" w:rsidRDefault="002F6693" w:rsidP="00E13DEA">
            <w:pPr>
              <w:jc w:val="center"/>
              <w:rPr>
                <w:rFonts w:cstheme="minorHAnsi"/>
              </w:rPr>
            </w:pPr>
            <w:r>
              <w:rPr>
                <w:rFonts w:cstheme="minorHAnsi"/>
              </w:rPr>
              <w:t>1186</w:t>
            </w:r>
          </w:p>
        </w:tc>
        <w:tc>
          <w:tcPr>
            <w:tcW w:w="1027" w:type="dxa"/>
          </w:tcPr>
          <w:p w14:paraId="6B4D7DED" w14:textId="4B13790C" w:rsidR="009450CD" w:rsidRPr="003D07A2" w:rsidRDefault="002D624C" w:rsidP="00E13DEA">
            <w:pPr>
              <w:jc w:val="center"/>
              <w:rPr>
                <w:rFonts w:cstheme="minorHAnsi"/>
              </w:rPr>
            </w:pPr>
            <w:r>
              <w:rPr>
                <w:rFonts w:cstheme="minorHAnsi"/>
              </w:rPr>
              <w:t>+100</w:t>
            </w:r>
          </w:p>
        </w:tc>
      </w:tr>
      <w:tr w:rsidR="009450CD" w:rsidRPr="003D07A2" w14:paraId="037ECC7E" w14:textId="77777777" w:rsidTr="005165B4">
        <w:trPr>
          <w:trHeight w:val="414"/>
        </w:trPr>
        <w:tc>
          <w:tcPr>
            <w:tcW w:w="3064" w:type="dxa"/>
          </w:tcPr>
          <w:p w14:paraId="0DEAE662" w14:textId="77777777" w:rsidR="009450CD" w:rsidRPr="003D07A2" w:rsidRDefault="009450CD" w:rsidP="00E13DEA">
            <w:pPr>
              <w:rPr>
                <w:rFonts w:cstheme="minorHAnsi"/>
              </w:rPr>
            </w:pPr>
            <w:r w:rsidRPr="003D07A2">
              <w:rPr>
                <w:rFonts w:cstheme="minorHAnsi"/>
              </w:rPr>
              <w:t>Ārstniecības un pacientu aprūpes atbalsta personāls</w:t>
            </w:r>
          </w:p>
        </w:tc>
        <w:tc>
          <w:tcPr>
            <w:tcW w:w="1326" w:type="dxa"/>
          </w:tcPr>
          <w:p w14:paraId="298B4DDF" w14:textId="7AE763D6" w:rsidR="009450CD" w:rsidRDefault="009450CD" w:rsidP="00E13DEA">
            <w:pPr>
              <w:jc w:val="center"/>
              <w:rPr>
                <w:rFonts w:cstheme="minorHAnsi"/>
              </w:rPr>
            </w:pPr>
            <w:r>
              <w:rPr>
                <w:rFonts w:cstheme="minorHAnsi"/>
              </w:rPr>
              <w:t>1124/920</w:t>
            </w:r>
          </w:p>
        </w:tc>
        <w:tc>
          <w:tcPr>
            <w:tcW w:w="1167" w:type="dxa"/>
          </w:tcPr>
          <w:p w14:paraId="7AEDFB89" w14:textId="52621559" w:rsidR="009450CD" w:rsidRPr="003D07A2" w:rsidRDefault="001F6102" w:rsidP="00E13DEA">
            <w:pPr>
              <w:jc w:val="center"/>
              <w:rPr>
                <w:rFonts w:cstheme="minorHAnsi"/>
              </w:rPr>
            </w:pPr>
            <w:r>
              <w:rPr>
                <w:rFonts w:cstheme="minorHAnsi"/>
              </w:rPr>
              <w:t>1039</w:t>
            </w:r>
          </w:p>
        </w:tc>
        <w:tc>
          <w:tcPr>
            <w:tcW w:w="1242" w:type="dxa"/>
          </w:tcPr>
          <w:p w14:paraId="16D7A07F" w14:textId="05C12C85" w:rsidR="009450CD" w:rsidRPr="003D07A2" w:rsidRDefault="00F91AFE" w:rsidP="00E13DEA">
            <w:pPr>
              <w:jc w:val="center"/>
              <w:rPr>
                <w:rFonts w:cstheme="minorHAnsi"/>
              </w:rPr>
            </w:pPr>
            <w:r>
              <w:rPr>
                <w:rFonts w:cstheme="minorHAnsi"/>
              </w:rPr>
              <w:t>990</w:t>
            </w:r>
          </w:p>
        </w:tc>
        <w:tc>
          <w:tcPr>
            <w:tcW w:w="1088" w:type="dxa"/>
          </w:tcPr>
          <w:p w14:paraId="6934E700" w14:textId="640CA7DC" w:rsidR="009450CD" w:rsidRPr="003D07A2" w:rsidRDefault="002F6693" w:rsidP="00E13DEA">
            <w:pPr>
              <w:jc w:val="center"/>
              <w:rPr>
                <w:rFonts w:cstheme="minorHAnsi"/>
              </w:rPr>
            </w:pPr>
            <w:r>
              <w:rPr>
                <w:rFonts w:cstheme="minorHAnsi"/>
              </w:rPr>
              <w:t>74</w:t>
            </w:r>
            <w:r w:rsidR="001879A6">
              <w:rPr>
                <w:rFonts w:cstheme="minorHAnsi"/>
              </w:rPr>
              <w:t>5</w:t>
            </w:r>
          </w:p>
        </w:tc>
        <w:tc>
          <w:tcPr>
            <w:tcW w:w="1027" w:type="dxa"/>
          </w:tcPr>
          <w:p w14:paraId="2D8ED40D" w14:textId="12EB6909" w:rsidR="009450CD" w:rsidRPr="003D07A2" w:rsidRDefault="00795DD4" w:rsidP="00E13DEA">
            <w:pPr>
              <w:jc w:val="center"/>
              <w:rPr>
                <w:rFonts w:cstheme="minorHAnsi"/>
              </w:rPr>
            </w:pPr>
            <w:r>
              <w:rPr>
                <w:rFonts w:cstheme="minorHAnsi"/>
              </w:rPr>
              <w:t>+70</w:t>
            </w:r>
          </w:p>
        </w:tc>
      </w:tr>
      <w:tr w:rsidR="009450CD" w:rsidRPr="003D07A2" w14:paraId="3769B045" w14:textId="77777777" w:rsidTr="005165B4">
        <w:trPr>
          <w:trHeight w:val="207"/>
        </w:trPr>
        <w:tc>
          <w:tcPr>
            <w:tcW w:w="3064" w:type="dxa"/>
          </w:tcPr>
          <w:p w14:paraId="3277A4F6" w14:textId="77777777" w:rsidR="009450CD" w:rsidRPr="003D07A2" w:rsidRDefault="009450CD" w:rsidP="00E13DEA">
            <w:pPr>
              <w:rPr>
                <w:rFonts w:cstheme="minorHAnsi"/>
              </w:rPr>
            </w:pPr>
            <w:r w:rsidRPr="003D07A2">
              <w:rPr>
                <w:rFonts w:cstheme="minorHAnsi"/>
              </w:rPr>
              <w:t>Administrācija</w:t>
            </w:r>
          </w:p>
        </w:tc>
        <w:tc>
          <w:tcPr>
            <w:tcW w:w="1326" w:type="dxa"/>
          </w:tcPr>
          <w:p w14:paraId="3227ABBC" w14:textId="19EE05A6" w:rsidR="009450CD" w:rsidRDefault="009450CD" w:rsidP="00E13DEA">
            <w:pPr>
              <w:jc w:val="center"/>
              <w:rPr>
                <w:rFonts w:cstheme="minorHAnsi"/>
              </w:rPr>
            </w:pPr>
            <w:r>
              <w:rPr>
                <w:rFonts w:cstheme="minorHAnsi"/>
              </w:rPr>
              <w:t>2126</w:t>
            </w:r>
          </w:p>
        </w:tc>
        <w:tc>
          <w:tcPr>
            <w:tcW w:w="1167" w:type="dxa"/>
          </w:tcPr>
          <w:p w14:paraId="2D4F220E" w14:textId="6DE59868" w:rsidR="009450CD" w:rsidRPr="003D07A2" w:rsidRDefault="001F6102" w:rsidP="00E13DEA">
            <w:pPr>
              <w:jc w:val="center"/>
              <w:rPr>
                <w:rFonts w:cstheme="minorHAnsi"/>
              </w:rPr>
            </w:pPr>
            <w:r>
              <w:rPr>
                <w:rFonts w:cstheme="minorHAnsi"/>
              </w:rPr>
              <w:t>2486</w:t>
            </w:r>
          </w:p>
        </w:tc>
        <w:tc>
          <w:tcPr>
            <w:tcW w:w="1242" w:type="dxa"/>
          </w:tcPr>
          <w:p w14:paraId="4FDA5099" w14:textId="387A59F7" w:rsidR="009450CD" w:rsidRPr="003D07A2" w:rsidRDefault="00F91AFE" w:rsidP="00E13DEA">
            <w:pPr>
              <w:jc w:val="center"/>
              <w:rPr>
                <w:rFonts w:cstheme="minorHAnsi"/>
              </w:rPr>
            </w:pPr>
            <w:r>
              <w:rPr>
                <w:rFonts w:cstheme="minorHAnsi"/>
              </w:rPr>
              <w:t>2417</w:t>
            </w:r>
          </w:p>
        </w:tc>
        <w:tc>
          <w:tcPr>
            <w:tcW w:w="1088" w:type="dxa"/>
          </w:tcPr>
          <w:p w14:paraId="0552CB70" w14:textId="77777777" w:rsidR="009450CD" w:rsidRPr="003D07A2" w:rsidRDefault="009450CD" w:rsidP="00E13DEA">
            <w:pPr>
              <w:jc w:val="center"/>
              <w:rPr>
                <w:rFonts w:cstheme="minorHAnsi"/>
              </w:rPr>
            </w:pPr>
            <w:r w:rsidRPr="003D07A2">
              <w:rPr>
                <w:rFonts w:cstheme="minorHAnsi"/>
              </w:rPr>
              <w:t>x</w:t>
            </w:r>
          </w:p>
        </w:tc>
        <w:tc>
          <w:tcPr>
            <w:tcW w:w="1027" w:type="dxa"/>
          </w:tcPr>
          <w:p w14:paraId="54533099" w14:textId="2C1E0DCF" w:rsidR="009450CD" w:rsidRPr="003D07A2" w:rsidRDefault="00795DD4" w:rsidP="00E13DEA">
            <w:pPr>
              <w:jc w:val="center"/>
              <w:rPr>
                <w:rFonts w:cstheme="minorHAnsi"/>
              </w:rPr>
            </w:pPr>
            <w:r>
              <w:rPr>
                <w:rFonts w:cstheme="minorHAnsi"/>
              </w:rPr>
              <w:t>+291</w:t>
            </w:r>
          </w:p>
        </w:tc>
      </w:tr>
      <w:tr w:rsidR="009450CD" w:rsidRPr="003D07A2" w14:paraId="02AA56E8" w14:textId="77777777" w:rsidTr="005165B4">
        <w:trPr>
          <w:trHeight w:val="207"/>
        </w:trPr>
        <w:tc>
          <w:tcPr>
            <w:tcW w:w="3064" w:type="dxa"/>
          </w:tcPr>
          <w:p w14:paraId="6C9C06D4" w14:textId="77777777" w:rsidR="009450CD" w:rsidRPr="003D07A2" w:rsidRDefault="009450CD" w:rsidP="00E13DEA">
            <w:pPr>
              <w:rPr>
                <w:rFonts w:cstheme="minorHAnsi"/>
              </w:rPr>
            </w:pPr>
            <w:r w:rsidRPr="003D07A2">
              <w:rPr>
                <w:rFonts w:cstheme="minorHAnsi"/>
              </w:rPr>
              <w:t>Pārējie darbinieki</w:t>
            </w:r>
          </w:p>
        </w:tc>
        <w:tc>
          <w:tcPr>
            <w:tcW w:w="1326" w:type="dxa"/>
          </w:tcPr>
          <w:p w14:paraId="4F838C6F" w14:textId="5B5B835A" w:rsidR="009450CD" w:rsidRDefault="009450CD" w:rsidP="00E13DEA">
            <w:pPr>
              <w:jc w:val="center"/>
              <w:rPr>
                <w:rFonts w:cstheme="minorHAnsi"/>
              </w:rPr>
            </w:pPr>
            <w:r>
              <w:rPr>
                <w:rFonts w:cstheme="minorHAnsi"/>
              </w:rPr>
              <w:t>924/863</w:t>
            </w:r>
          </w:p>
        </w:tc>
        <w:tc>
          <w:tcPr>
            <w:tcW w:w="1167" w:type="dxa"/>
          </w:tcPr>
          <w:p w14:paraId="0E15B93C" w14:textId="00E55F25" w:rsidR="009450CD" w:rsidRPr="003D07A2" w:rsidRDefault="001F6102" w:rsidP="00E13DEA">
            <w:pPr>
              <w:jc w:val="center"/>
              <w:rPr>
                <w:rFonts w:cstheme="minorHAnsi"/>
              </w:rPr>
            </w:pPr>
            <w:r>
              <w:rPr>
                <w:rFonts w:cstheme="minorHAnsi"/>
              </w:rPr>
              <w:t>977</w:t>
            </w:r>
          </w:p>
        </w:tc>
        <w:tc>
          <w:tcPr>
            <w:tcW w:w="1242" w:type="dxa"/>
          </w:tcPr>
          <w:p w14:paraId="726FD94F" w14:textId="1F8555F4" w:rsidR="009450CD" w:rsidRPr="003D07A2" w:rsidRDefault="00F91AFE" w:rsidP="00E13DEA">
            <w:pPr>
              <w:jc w:val="center"/>
              <w:rPr>
                <w:rFonts w:cstheme="minorHAnsi"/>
              </w:rPr>
            </w:pPr>
            <w:r>
              <w:rPr>
                <w:rFonts w:cstheme="minorHAnsi"/>
              </w:rPr>
              <w:t>940</w:t>
            </w:r>
          </w:p>
        </w:tc>
        <w:tc>
          <w:tcPr>
            <w:tcW w:w="1088" w:type="dxa"/>
          </w:tcPr>
          <w:p w14:paraId="47F0937A" w14:textId="77777777" w:rsidR="009450CD" w:rsidRPr="003D07A2" w:rsidRDefault="009450CD" w:rsidP="00E13DEA">
            <w:pPr>
              <w:jc w:val="center"/>
              <w:rPr>
                <w:rFonts w:cstheme="minorHAnsi"/>
              </w:rPr>
            </w:pPr>
            <w:r w:rsidRPr="003D07A2">
              <w:rPr>
                <w:rFonts w:cstheme="minorHAnsi"/>
              </w:rPr>
              <w:t>x</w:t>
            </w:r>
          </w:p>
        </w:tc>
        <w:tc>
          <w:tcPr>
            <w:tcW w:w="1027" w:type="dxa"/>
          </w:tcPr>
          <w:p w14:paraId="735678D2" w14:textId="511606A0" w:rsidR="009450CD" w:rsidRPr="003D07A2" w:rsidRDefault="00795DD4" w:rsidP="00E13DEA">
            <w:pPr>
              <w:jc w:val="center"/>
              <w:rPr>
                <w:rFonts w:cstheme="minorHAnsi"/>
              </w:rPr>
            </w:pPr>
            <w:r>
              <w:rPr>
                <w:rFonts w:cstheme="minorHAnsi"/>
              </w:rPr>
              <w:t>+77</w:t>
            </w:r>
          </w:p>
        </w:tc>
      </w:tr>
    </w:tbl>
    <w:p w14:paraId="07D261BC" w14:textId="1B7C0209" w:rsidR="00BA1E07" w:rsidRPr="003D07A2" w:rsidRDefault="006E37EF" w:rsidP="00712DD6">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w:t>
      </w:r>
      <w:r w:rsidR="00536756">
        <w:rPr>
          <w:rFonts w:cstheme="minorHAnsi"/>
        </w:rPr>
        <w:t xml:space="preserve">( bez covid piemaksām) </w:t>
      </w:r>
      <w:r w:rsidRPr="003D07A2">
        <w:rPr>
          <w:rFonts w:cstheme="minorHAnsi"/>
        </w:rPr>
        <w:t xml:space="preserve">izmaksu ārstu kategorijā </w:t>
      </w:r>
      <w:r w:rsidR="00670C29" w:rsidRPr="003D07A2">
        <w:rPr>
          <w:rFonts w:cstheme="minorHAnsi"/>
        </w:rPr>
        <w:t>+</w:t>
      </w:r>
      <w:r w:rsidR="00D73D53">
        <w:rPr>
          <w:rFonts w:cstheme="minorHAnsi"/>
        </w:rPr>
        <w:t>783</w:t>
      </w:r>
      <w:r w:rsidR="00670C29" w:rsidRPr="003D07A2">
        <w:rPr>
          <w:rFonts w:cstheme="minorHAnsi"/>
        </w:rPr>
        <w:t xml:space="preserve"> euro</w:t>
      </w:r>
      <w:r w:rsidRPr="003D07A2">
        <w:rPr>
          <w:rFonts w:cstheme="minorHAnsi"/>
        </w:rPr>
        <w:t xml:space="preserve">; māsu </w:t>
      </w:r>
      <w:r w:rsidR="00670C29" w:rsidRPr="003D07A2">
        <w:rPr>
          <w:rFonts w:cstheme="minorHAnsi"/>
        </w:rPr>
        <w:t>+</w:t>
      </w:r>
      <w:r w:rsidR="00D73D53">
        <w:rPr>
          <w:rFonts w:cstheme="minorHAnsi"/>
        </w:rPr>
        <w:t>466</w:t>
      </w:r>
      <w:r w:rsidRPr="003D07A2">
        <w:rPr>
          <w:rFonts w:cstheme="minorHAnsi"/>
        </w:rPr>
        <w:t xml:space="preserve"> </w:t>
      </w:r>
      <w:r w:rsidR="00670C29" w:rsidRPr="003D07A2">
        <w:rPr>
          <w:rFonts w:cstheme="minorHAnsi"/>
        </w:rPr>
        <w:t>euro</w:t>
      </w:r>
      <w:r w:rsidRPr="003D07A2">
        <w:rPr>
          <w:rFonts w:cstheme="minorHAnsi"/>
        </w:rPr>
        <w:t xml:space="preserve">; māsu palīgu </w:t>
      </w:r>
      <w:r w:rsidR="00670C29" w:rsidRPr="003D07A2">
        <w:rPr>
          <w:rFonts w:cstheme="minorHAnsi"/>
        </w:rPr>
        <w:t>+</w:t>
      </w:r>
      <w:r w:rsidR="00D73D53">
        <w:rPr>
          <w:rFonts w:cstheme="minorHAnsi"/>
        </w:rPr>
        <w:t>245</w:t>
      </w:r>
      <w:r w:rsidR="00670C29" w:rsidRPr="003D07A2">
        <w:rPr>
          <w:rFonts w:cstheme="minorHAnsi"/>
        </w:rPr>
        <w:t xml:space="preserve"> euro vairāk.</w:t>
      </w:r>
      <w:r w:rsidR="00B55614" w:rsidRPr="003D07A2">
        <w:rPr>
          <w:rFonts w:cstheme="minorHAnsi"/>
        </w:rPr>
        <w:t xml:space="preserve"> Salīdzinot ar normatīvo dokumentu par ārstniecības personu zemāko mēnešalgu (MK not.Nr.851)</w:t>
      </w:r>
      <w:r w:rsidR="00712DD6" w:rsidRPr="003D07A2">
        <w:rPr>
          <w:rFonts w:cstheme="minorHAnsi"/>
        </w:rPr>
        <w:t xml:space="preserve"> – </w:t>
      </w:r>
      <w:r w:rsidR="00B55614" w:rsidRPr="003D07A2">
        <w:rPr>
          <w:rFonts w:cstheme="minorHAnsi"/>
        </w:rPr>
        <w:t>ārstiem +</w:t>
      </w:r>
      <w:r w:rsidR="009F7CA4">
        <w:rPr>
          <w:rFonts w:cstheme="minorHAnsi"/>
        </w:rPr>
        <w:t xml:space="preserve">660 </w:t>
      </w:r>
      <w:r w:rsidR="00B55614" w:rsidRPr="003D07A2">
        <w:rPr>
          <w:rFonts w:cstheme="minorHAnsi"/>
        </w:rPr>
        <w:t>euro</w:t>
      </w:r>
      <w:r w:rsidR="009F7CA4">
        <w:rPr>
          <w:rFonts w:cstheme="minorHAnsi"/>
        </w:rPr>
        <w:t xml:space="preserve"> (mēnešalga 2215 euro, Mk not.1555 euro)</w:t>
      </w:r>
      <w:r w:rsidR="00B55614" w:rsidRPr="003D07A2">
        <w:rPr>
          <w:rFonts w:cstheme="minorHAnsi"/>
        </w:rPr>
        <w:t>; māsas +</w:t>
      </w:r>
      <w:r w:rsidR="00C37B02">
        <w:rPr>
          <w:rFonts w:cstheme="minorHAnsi"/>
        </w:rPr>
        <w:t>135</w:t>
      </w:r>
      <w:r w:rsidR="00B55614" w:rsidRPr="003D07A2">
        <w:rPr>
          <w:rFonts w:cstheme="minorHAnsi"/>
        </w:rPr>
        <w:t xml:space="preserve"> euro</w:t>
      </w:r>
      <w:r w:rsidR="00011898">
        <w:rPr>
          <w:rFonts w:cstheme="minorHAnsi"/>
        </w:rPr>
        <w:t xml:space="preserve"> (1167 euro un 1032 euro)</w:t>
      </w:r>
      <w:r w:rsidR="00B55614" w:rsidRPr="003D07A2">
        <w:rPr>
          <w:rFonts w:cstheme="minorHAnsi"/>
        </w:rPr>
        <w:t>, māsu palīgi +</w:t>
      </w:r>
      <w:r w:rsidR="00162132">
        <w:rPr>
          <w:rFonts w:cstheme="minorHAnsi"/>
        </w:rPr>
        <w:t>37</w:t>
      </w:r>
      <w:r w:rsidR="00B55614" w:rsidRPr="003D07A2">
        <w:rPr>
          <w:rFonts w:cstheme="minorHAnsi"/>
        </w:rPr>
        <w:t xml:space="preserve"> euro</w:t>
      </w:r>
      <w:r w:rsidR="00C37B02">
        <w:rPr>
          <w:rFonts w:cstheme="minorHAnsi"/>
        </w:rPr>
        <w:t>( 760 euro un 723 euro)</w:t>
      </w:r>
      <w:r w:rsidR="00B55614" w:rsidRPr="003D07A2">
        <w:rPr>
          <w:rFonts w:cstheme="minorHAnsi"/>
        </w:rPr>
        <w:t>.</w:t>
      </w:r>
    </w:p>
    <w:p w14:paraId="2CFC295D" w14:textId="2CDB428D" w:rsidR="00670C29" w:rsidRPr="003D07A2"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162132">
        <w:rPr>
          <w:rFonts w:cstheme="minorHAnsi"/>
        </w:rPr>
        <w:t>0</w:t>
      </w:r>
      <w:r w:rsidR="00670C29" w:rsidRPr="003D07A2">
        <w:rPr>
          <w:rFonts w:cstheme="minorHAnsi"/>
        </w:rPr>
        <w:t xml:space="preserve"> % no ārsta darba apmaksas un māsu palīgiem tiek nodrošināta darba samaksa </w:t>
      </w:r>
      <w:r w:rsidR="0054099A">
        <w:rPr>
          <w:rFonts w:cstheme="minorHAnsi"/>
        </w:rPr>
        <w:t>3</w:t>
      </w:r>
      <w:r w:rsidR="006453B8">
        <w:rPr>
          <w:rFonts w:cstheme="minorHAnsi"/>
        </w:rPr>
        <w:t>6</w:t>
      </w:r>
      <w:r w:rsidR="00670C29" w:rsidRPr="003D07A2">
        <w:rPr>
          <w:rFonts w:cstheme="minorHAnsi"/>
        </w:rPr>
        <w:t>% no ārstu darba samaksas.</w:t>
      </w:r>
    </w:p>
    <w:p w14:paraId="60CB93E0" w14:textId="77777777" w:rsidR="008D79D0" w:rsidRPr="003D07A2" w:rsidRDefault="008D79D0" w:rsidP="008D79D0">
      <w:pPr>
        <w:spacing w:after="0"/>
        <w:rPr>
          <w:rFonts w:cstheme="minorHAnsi"/>
          <w:b/>
          <w:bCs/>
        </w:rPr>
      </w:pPr>
      <w:bookmarkStart w:id="0" w:name="_Hlk70341704"/>
      <w:r w:rsidRPr="003D07A2">
        <w:rPr>
          <w:rFonts w:cstheme="minorHAnsi"/>
          <w:b/>
          <w:bCs/>
        </w:rPr>
        <w:t>Izglītība un zinātniskā darbība</w:t>
      </w:r>
    </w:p>
    <w:p w14:paraId="7CF4CFF6" w14:textId="36CA936C" w:rsidR="00E24E30" w:rsidRPr="003D07A2" w:rsidRDefault="003B7B57" w:rsidP="00712DD6">
      <w:pPr>
        <w:spacing w:before="100" w:beforeAutospacing="1" w:after="100" w:afterAutospacing="1"/>
        <w:jc w:val="both"/>
        <w:rPr>
          <w:rFonts w:cstheme="minorHAnsi"/>
        </w:rPr>
      </w:pPr>
      <w:r w:rsidRPr="003D07A2">
        <w:rPr>
          <w:rFonts w:cstheme="minorHAnsi"/>
        </w:rPr>
        <w:t>Pārskata periodā Sabiedrībā rezidentūru īsteno 1</w:t>
      </w:r>
      <w:r w:rsidR="00597573">
        <w:rPr>
          <w:rFonts w:cstheme="minorHAnsi"/>
        </w:rPr>
        <w:t>1</w:t>
      </w:r>
      <w:r w:rsidRPr="003D07A2">
        <w:rPr>
          <w:rFonts w:cstheme="minorHAnsi"/>
        </w:rPr>
        <w:t xml:space="preserve">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w:t>
      </w:r>
      <w:r w:rsidR="000F64FC">
        <w:rPr>
          <w:rFonts w:cstheme="minorHAnsi"/>
        </w:rPr>
        <w:t>-</w:t>
      </w:r>
      <w:r w:rsidR="003905A7">
        <w:rPr>
          <w:rFonts w:cstheme="minorHAnsi"/>
        </w:rPr>
        <w:t>8</w:t>
      </w:r>
      <w:r w:rsidR="00086188" w:rsidRPr="003D07A2">
        <w:rPr>
          <w:rFonts w:cstheme="minorHAnsi"/>
        </w:rPr>
        <w:t>, “Bērnu psihiatrija”</w:t>
      </w:r>
      <w:r w:rsidR="000F64FC">
        <w:rPr>
          <w:rFonts w:cstheme="minorHAnsi"/>
        </w:rPr>
        <w:t>-</w:t>
      </w:r>
      <w:r w:rsidR="003905A7">
        <w:rPr>
          <w:rFonts w:cstheme="minorHAnsi"/>
        </w:rPr>
        <w:t>2</w:t>
      </w:r>
      <w:r w:rsidR="000F64FC">
        <w:rPr>
          <w:rFonts w:cstheme="minorHAnsi"/>
        </w:rPr>
        <w:t>, “Narkoloģija” -1</w:t>
      </w:r>
      <w:r w:rsidR="00086188" w:rsidRPr="003D07A2">
        <w:rPr>
          <w:rFonts w:cstheme="minorHAnsi"/>
        </w:rPr>
        <w:t xml:space="preserve">. </w:t>
      </w:r>
      <w:r w:rsidR="00226245" w:rsidRPr="003D07A2">
        <w:rPr>
          <w:rFonts w:cstheme="minorHAnsi"/>
        </w:rPr>
        <w:t>Līgumi par rezidentu apmācību valsts budžeta finansētās rezidentūras vietās Sabiedrībai noslēgti ar Rīgas Stradiņa universitāti</w:t>
      </w:r>
      <w:r w:rsidR="000421E2">
        <w:rPr>
          <w:rFonts w:cstheme="minorHAnsi"/>
        </w:rPr>
        <w:t xml:space="preserve"> </w:t>
      </w:r>
      <w:r w:rsidR="00226245" w:rsidRPr="003D07A2">
        <w:rPr>
          <w:rFonts w:cstheme="minorHAnsi"/>
        </w:rPr>
        <w:t xml:space="preserve"> </w:t>
      </w:r>
      <w:r w:rsidR="000421E2">
        <w:rPr>
          <w:rFonts w:cstheme="minorHAnsi"/>
        </w:rPr>
        <w:t xml:space="preserve">Tai skaitā </w:t>
      </w:r>
      <w:r w:rsidR="008D2F33">
        <w:rPr>
          <w:rFonts w:cstheme="minorHAnsi"/>
        </w:rPr>
        <w:t>viens</w:t>
      </w:r>
      <w:r w:rsidR="000421E2">
        <w:rPr>
          <w:rFonts w:cstheme="minorHAnsi"/>
        </w:rPr>
        <w:t xml:space="preserve"> rezidenti izmanto akadēmisko atvaļinājumu.</w:t>
      </w:r>
    </w:p>
    <w:p w14:paraId="56DB1D88" w14:textId="7C5FA02F" w:rsidR="009C4FFD" w:rsidRDefault="003B7B57" w:rsidP="00712DD6">
      <w:pPr>
        <w:spacing w:before="100" w:beforeAutospacing="1" w:after="100" w:afterAutospacing="1"/>
        <w:jc w:val="both"/>
        <w:rPr>
          <w:rFonts w:cstheme="minorHAnsi"/>
        </w:rPr>
      </w:pPr>
      <w:r w:rsidRPr="003D07A2">
        <w:rPr>
          <w:rFonts w:cstheme="minorHAnsi"/>
        </w:rPr>
        <w:lastRenderedPageBreak/>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(psihoedukācija)</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 xml:space="preserve">pašvaldību speciālistiem, Jelgavas pilsētas iedzīvotājiem un skolēniem, kā arī slimnīcas “Ģintermuižas” ārstu konferencēs. </w:t>
      </w:r>
    </w:p>
    <w:p w14:paraId="7308C3A6" w14:textId="451346E3" w:rsidR="00545B71" w:rsidRDefault="004E0B6C" w:rsidP="00712DD6">
      <w:pPr>
        <w:spacing w:before="100" w:beforeAutospacing="1" w:after="100" w:afterAutospacing="1"/>
        <w:jc w:val="both"/>
        <w:rPr>
          <w:rFonts w:cstheme="minorHAnsi"/>
        </w:rPr>
      </w:pPr>
      <w:r>
        <w:rPr>
          <w:rFonts w:cstheme="minorHAnsi"/>
        </w:rPr>
        <w:t>ES</w:t>
      </w:r>
      <w:r w:rsidR="006A74B2">
        <w:rPr>
          <w:rFonts w:cstheme="minorHAnsi"/>
        </w:rPr>
        <w:t xml:space="preserve"> fonda projekta Nr.9.2.6.0/17/I/001 “Ārstniecības un ārstniecības atbalsta personāla </w:t>
      </w:r>
      <w:r w:rsidR="00897914">
        <w:rPr>
          <w:rFonts w:cstheme="minorHAnsi"/>
        </w:rPr>
        <w:t>kvalifikācijas uzlabošana”</w:t>
      </w:r>
      <w:r w:rsidR="00D377C8">
        <w:rPr>
          <w:rFonts w:cstheme="minorHAnsi"/>
        </w:rPr>
        <w:t xml:space="preserve"> profesionālās pilnveides programmas “Māsa (vispārējās aprūpes māsa) specializācijas psihiatrijā un narkoloģijā</w:t>
      </w:r>
      <w:r w:rsidR="00604455">
        <w:rPr>
          <w:rFonts w:cstheme="minorHAnsi"/>
        </w:rPr>
        <w:t xml:space="preserve"> klīniskām mācībām”</w:t>
      </w:r>
      <w:r w:rsidR="00596D7D">
        <w:rPr>
          <w:rFonts w:cstheme="minorHAnsi"/>
        </w:rPr>
        <w:t xml:space="preserve"> </w:t>
      </w:r>
      <w:r w:rsidR="00D90588">
        <w:rPr>
          <w:rFonts w:cstheme="minorHAnsi"/>
        </w:rPr>
        <w:t xml:space="preserve">ietvaros </w:t>
      </w:r>
      <w:r w:rsidR="00604455">
        <w:rPr>
          <w:rFonts w:cstheme="minorHAnsi"/>
        </w:rPr>
        <w:t xml:space="preserve">sadarbībā ar RSU sarkanā Krusta koledžu </w:t>
      </w:r>
      <w:r w:rsidR="005B0358">
        <w:rPr>
          <w:rFonts w:cstheme="minorHAnsi"/>
        </w:rPr>
        <w:t xml:space="preserve">no 01.01.-31.03.2023. slimnīca nodrošināja prakses vietu </w:t>
      </w:r>
      <w:r w:rsidR="00596D7D">
        <w:rPr>
          <w:rFonts w:cstheme="minorHAnsi"/>
        </w:rPr>
        <w:t xml:space="preserve"> un iespēju iziet klīnisko praksi: 01.2023.-17 māsas; 02.2023.-16 māsas; 03.2023.-20 māsas.</w:t>
      </w:r>
    </w:p>
    <w:p w14:paraId="49BB94A7" w14:textId="03B87EAE" w:rsidR="0080403D" w:rsidRDefault="00116640" w:rsidP="00712DD6">
      <w:pPr>
        <w:spacing w:before="100" w:beforeAutospacing="1" w:after="100" w:afterAutospacing="1"/>
        <w:jc w:val="both"/>
        <w:rPr>
          <w:rFonts w:cstheme="minorHAnsi"/>
        </w:rPr>
      </w:pPr>
      <w:r>
        <w:rPr>
          <w:rFonts w:cstheme="minorHAnsi"/>
        </w:rPr>
        <w:t>S</w:t>
      </w:r>
      <w:r w:rsidR="0080403D">
        <w:rPr>
          <w:rFonts w:cstheme="minorHAnsi"/>
        </w:rPr>
        <w:t>adarbībā</w:t>
      </w:r>
      <w:r>
        <w:rPr>
          <w:rFonts w:cstheme="minorHAnsi"/>
        </w:rPr>
        <w:t xml:space="preserve"> ar RSU Māszinību un dzemdību aprūpes katedru </w:t>
      </w:r>
      <w:r w:rsidR="009D32C3">
        <w:rPr>
          <w:rFonts w:cstheme="minorHAnsi"/>
        </w:rPr>
        <w:t>studiju programma “Māszinības”</w:t>
      </w:r>
      <w:r w:rsidR="00BF58C3">
        <w:rPr>
          <w:rFonts w:cstheme="minorHAnsi"/>
        </w:rPr>
        <w:t xml:space="preserve"> </w:t>
      </w:r>
      <w:r w:rsidR="009D32C3">
        <w:rPr>
          <w:rFonts w:cstheme="minorHAnsi"/>
        </w:rPr>
        <w:t xml:space="preserve">slimnīca nodrošināja klīnisko praksi </w:t>
      </w:r>
      <w:r w:rsidR="00BF58C3">
        <w:rPr>
          <w:rFonts w:cstheme="minorHAnsi"/>
        </w:rPr>
        <w:t xml:space="preserve"> trīs </w:t>
      </w:r>
      <w:r w:rsidR="009D32C3">
        <w:rPr>
          <w:rFonts w:cstheme="minorHAnsi"/>
        </w:rPr>
        <w:t>3.kursa studentiem</w:t>
      </w:r>
      <w:r w:rsidR="00BF58C3">
        <w:rPr>
          <w:rFonts w:cstheme="minorHAnsi"/>
        </w:rPr>
        <w:t>.</w:t>
      </w:r>
    </w:p>
    <w:p w14:paraId="5E7D5F64" w14:textId="77777777" w:rsidR="00901005" w:rsidRPr="00AD54D9" w:rsidRDefault="00901005" w:rsidP="00901005">
      <w:pPr>
        <w:spacing w:before="100" w:beforeAutospacing="1" w:after="0" w:line="276" w:lineRule="auto"/>
        <w:jc w:val="both"/>
        <w:rPr>
          <w:rFonts w:cstheme="minorHAnsi"/>
          <w:color w:val="000000" w:themeColor="text1"/>
        </w:rPr>
      </w:pPr>
      <w:r w:rsidRPr="00AD54D9">
        <w:rPr>
          <w:rFonts w:cstheme="minorHAnsi"/>
          <w:color w:val="000000" w:themeColor="text1"/>
        </w:rPr>
        <w:t xml:space="preserve">2023.gada 8.martā MS TEAMS platformā, sadarbībā ar  </w:t>
      </w:r>
      <w:r w:rsidRPr="00AD54D9">
        <w:rPr>
          <w:rFonts w:cstheme="minorHAnsi"/>
          <w:color w:val="000000" w:themeColor="text1"/>
          <w:lang w:eastAsia="lv-LV"/>
        </w:rPr>
        <w:t xml:space="preserve">ESSITY LATVIA SIA, tika organizēti kursi </w:t>
      </w:r>
      <w:r w:rsidRPr="00AD54D9">
        <w:rPr>
          <w:rFonts w:cstheme="minorHAnsi"/>
          <w:color w:val="000000" w:themeColor="text1"/>
        </w:rPr>
        <w:t>“Jaunākās aktualitātes par urīna nesaturēšanu. Diagnostikas un ārstēšanas vadlīnijas/uz vadlīnijām balstīti diagnostikas un ārstēšanas algoritmi.“ Lektore: Dr.med. Zane Pilsētniece</w:t>
      </w:r>
    </w:p>
    <w:p w14:paraId="0AC162B0" w14:textId="77777777" w:rsidR="00901005" w:rsidRPr="00AD54D9" w:rsidRDefault="00901005" w:rsidP="00901005">
      <w:pPr>
        <w:spacing w:before="100" w:beforeAutospacing="1" w:after="0" w:line="276" w:lineRule="auto"/>
        <w:jc w:val="both"/>
        <w:rPr>
          <w:rFonts w:cstheme="minorHAnsi"/>
          <w:color w:val="000000" w:themeColor="text1"/>
        </w:rPr>
      </w:pPr>
      <w:r w:rsidRPr="00AD54D9">
        <w:rPr>
          <w:rFonts w:cstheme="minorHAnsi"/>
          <w:color w:val="000000" w:themeColor="text1"/>
        </w:rPr>
        <w:t>No š.g. 13. marta līdz 16. jūnijam VSIA “Slimnīcā ”Ģintermuiža”” māsu palīgu mācību praksi uzsāka 2 praktikanti . Viens no LU Rīgas 1. medicīnas koledžas ar Biedrība “Latvijas darba devēju konfederāciju” 2022. gadā 8. martā noslēgto sadarbības līgumu Nr. SAM 8.5.1./6-12.1.3./3322 par Darbības programmas “Izaugsme un nodarbinātība” 8.5.1. specifiskā atbalsta mērķa “palielināt kvalificētu profesionālās izglītības iestāžu audzēkņu skaitu pēc to dalības darba vidē balstītās mācībās vai mācību praksē uzņēmumā” īstenošanu. Projekta finansētājs ir Eiropas Sociālais fonds. Otrs no RSU Sarkanā Krusta medicīnas koledžas.</w:t>
      </w:r>
    </w:p>
    <w:p w14:paraId="37F3A7DF" w14:textId="77777777" w:rsidR="00901005" w:rsidRPr="00AD54D9" w:rsidRDefault="00901005" w:rsidP="00901005">
      <w:pPr>
        <w:spacing w:line="276" w:lineRule="auto"/>
        <w:jc w:val="both"/>
        <w:rPr>
          <w:rFonts w:cstheme="minorHAnsi"/>
          <w:color w:val="050505"/>
          <w:shd w:val="clear" w:color="auto" w:fill="FFFFFF"/>
        </w:rPr>
      </w:pPr>
      <w:r w:rsidRPr="00AD54D9">
        <w:rPr>
          <w:rFonts w:cstheme="minorHAnsi"/>
          <w:color w:val="000000" w:themeColor="text1"/>
        </w:rPr>
        <w:t xml:space="preserve"> </w:t>
      </w:r>
      <w:r w:rsidRPr="00AD54D9">
        <w:rPr>
          <w:rFonts w:cstheme="minorHAnsi"/>
          <w:color w:val="050505"/>
          <w:shd w:val="clear" w:color="auto" w:fill="FFFFFF"/>
        </w:rPr>
        <w:t xml:space="preserve">Sadarbībā ar RSU Sarkanā Krusta medicīnas koledžas Tālākizglītības un profesionālās izglītības nodaļu </w:t>
      </w:r>
      <w:r w:rsidRPr="00AD54D9">
        <w:rPr>
          <w:rFonts w:cstheme="minorHAnsi"/>
          <w:color w:val="000000" w:themeColor="text1"/>
          <w:shd w:val="clear" w:color="auto" w:fill="FFFFFF"/>
        </w:rPr>
        <w:t>15. un 22. martā slimnīcā "Ģintermuiža" norisinājās klātienes tālākizglītības kursi ”Krišanas ris</w:t>
      </w:r>
      <w:r w:rsidRPr="00AD54D9">
        <w:rPr>
          <w:rFonts w:cstheme="minorHAnsi"/>
          <w:color w:val="050505"/>
          <w:shd w:val="clear" w:color="auto" w:fill="FFFFFF"/>
        </w:rPr>
        <w:t>ku novērtēšana un novēršana veselības un sociālajā aprūpē”, kurus apmaksāja Slimnīca.</w:t>
      </w:r>
      <w:r w:rsidRPr="00AD54D9">
        <w:rPr>
          <w:rFonts w:cstheme="minorHAnsi"/>
          <w:color w:val="000000" w:themeColor="text1"/>
          <w:shd w:val="clear" w:color="auto" w:fill="FFFFFF"/>
        </w:rPr>
        <w:t xml:space="preserve"> </w:t>
      </w:r>
      <w:r w:rsidRPr="00AD54D9">
        <w:rPr>
          <w:rFonts w:cstheme="minorHAnsi"/>
          <w:color w:val="050505"/>
          <w:shd w:val="clear" w:color="auto" w:fill="FFFFFF"/>
        </w:rPr>
        <w:t xml:space="preserve">Tajos piedalījās 162 iestādes darbinieki – 135 ārstniecības un ārstniecības atbalsta personas, kā arī 27 sociālās aprūpes un sociālās rehabilitācijas darbinieki. Par kursu noklausīšanos bija iespēja iegūt 8 TIP. Atzinīgu vērtējumu par kursu kvalitāti sniedza 161 darbinieks, 1 darbiniekam kursu kvalitāte neapmierināja. </w:t>
      </w:r>
    </w:p>
    <w:p w14:paraId="33D48B1E" w14:textId="0E1D1B4E" w:rsidR="006159D9" w:rsidRDefault="006159D9" w:rsidP="00712DD6">
      <w:pPr>
        <w:spacing w:before="100" w:beforeAutospacing="1" w:after="100" w:afterAutospacing="1"/>
        <w:jc w:val="both"/>
        <w:rPr>
          <w:rFonts w:cstheme="minorHAnsi"/>
        </w:rPr>
      </w:pPr>
      <w:r w:rsidRPr="003D07A2">
        <w:rPr>
          <w:rFonts w:cstheme="minorHAnsi"/>
        </w:rPr>
        <w:t xml:space="preserve">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w:t>
      </w:r>
      <w:r w:rsidR="00004C25">
        <w:rPr>
          <w:rFonts w:cstheme="minorHAnsi"/>
        </w:rPr>
        <w:t>69</w:t>
      </w:r>
      <w:r w:rsidRPr="003D07A2">
        <w:rPr>
          <w:rFonts w:cstheme="minorHAnsi"/>
        </w:rPr>
        <w:t xml:space="preserve"> ārstniecības personas</w:t>
      </w:r>
      <w:r w:rsidR="0027263A">
        <w:rPr>
          <w:rFonts w:cstheme="minorHAnsi"/>
        </w:rPr>
        <w:t xml:space="preserve">, tai skaitā 4 </w:t>
      </w:r>
      <w:r w:rsidR="00B30ADC">
        <w:rPr>
          <w:rFonts w:cstheme="minorHAnsi"/>
        </w:rPr>
        <w:t>ā</w:t>
      </w:r>
      <w:r w:rsidR="0027263A">
        <w:rPr>
          <w:rFonts w:cstheme="minorHAnsi"/>
        </w:rPr>
        <w:t>rsti, 1</w:t>
      </w:r>
      <w:r w:rsidR="00F117AE">
        <w:rPr>
          <w:rFonts w:cstheme="minorHAnsi"/>
        </w:rPr>
        <w:t>7</w:t>
      </w:r>
      <w:r w:rsidR="0027263A">
        <w:rPr>
          <w:rFonts w:cstheme="minorHAnsi"/>
        </w:rPr>
        <w:t xml:space="preserve"> māsas</w:t>
      </w:r>
      <w:r w:rsidR="00B30ADC">
        <w:rPr>
          <w:rFonts w:cstheme="minorHAnsi"/>
        </w:rPr>
        <w:t xml:space="preserve"> un </w:t>
      </w:r>
      <w:r w:rsidR="00F117AE">
        <w:rPr>
          <w:rFonts w:cstheme="minorHAnsi"/>
        </w:rPr>
        <w:t>48</w:t>
      </w:r>
      <w:r w:rsidR="00B30ADC">
        <w:rPr>
          <w:rFonts w:cstheme="minorHAnsi"/>
        </w:rPr>
        <w:t xml:space="preserve"> māsu palīgi</w:t>
      </w:r>
      <w:r w:rsidR="004B4C65">
        <w:rPr>
          <w:rFonts w:cstheme="minorHAnsi"/>
        </w:rPr>
        <w:t>.</w:t>
      </w:r>
      <w:r w:rsidR="00004C25">
        <w:rPr>
          <w:rFonts w:cstheme="minorHAnsi"/>
        </w:rPr>
        <w:t xml:space="preserve"> Divas personas, sakarā ar darba vietas teritoriālo maiņu, ir </w:t>
      </w:r>
      <w:r w:rsidR="00A76D3C">
        <w:rPr>
          <w:rFonts w:cstheme="minorHAnsi"/>
        </w:rPr>
        <w:t>atlīdzinājušas saistības</w:t>
      </w:r>
      <w:r w:rsidR="00F126B6">
        <w:rPr>
          <w:rFonts w:cstheme="minorHAnsi"/>
        </w:rPr>
        <w:t>.</w:t>
      </w:r>
    </w:p>
    <w:p w14:paraId="5F971A61" w14:textId="10959674" w:rsidR="00E13CC8" w:rsidRDefault="00E13CC8">
      <w:pPr>
        <w:rPr>
          <w:rFonts w:cstheme="minorHAnsi"/>
        </w:rPr>
      </w:pPr>
      <w:r>
        <w:rPr>
          <w:rFonts w:cstheme="minorHAnsi"/>
        </w:rPr>
        <w:br w:type="page"/>
      </w:r>
    </w:p>
    <w:p w14:paraId="55B99C88" w14:textId="77777777" w:rsidR="0028718E" w:rsidRPr="003D07A2" w:rsidRDefault="0028718E" w:rsidP="00712DD6">
      <w:pPr>
        <w:spacing w:before="100" w:beforeAutospacing="1" w:after="100" w:afterAutospacing="1"/>
        <w:jc w:val="both"/>
        <w:rPr>
          <w:rFonts w:cstheme="minorHAnsi"/>
        </w:rPr>
      </w:pPr>
    </w:p>
    <w:bookmarkEnd w:id="0"/>
    <w:p w14:paraId="0C722F1F" w14:textId="77777777" w:rsidR="00863730" w:rsidRDefault="00863730" w:rsidP="00863730">
      <w:pPr>
        <w:spacing w:after="0"/>
        <w:rPr>
          <w:rFonts w:cstheme="minorHAnsi"/>
          <w:b/>
          <w:bCs/>
        </w:rPr>
      </w:pPr>
      <w:r w:rsidRPr="006D4872">
        <w:rPr>
          <w:rFonts w:cstheme="minorHAnsi"/>
          <w:b/>
          <w:bCs/>
        </w:rPr>
        <w:lastRenderedPageBreak/>
        <w:t>Klientu apkalpošana un kvalitātes vadība</w:t>
      </w:r>
    </w:p>
    <w:p w14:paraId="7D662CC0" w14:textId="77777777" w:rsidR="0028718E" w:rsidRPr="006D4872" w:rsidRDefault="0028718E" w:rsidP="00863730">
      <w:pPr>
        <w:spacing w:after="0"/>
        <w:rPr>
          <w:rFonts w:cstheme="minorHAnsi"/>
          <w:b/>
          <w:bCs/>
        </w:rPr>
      </w:pPr>
    </w:p>
    <w:p w14:paraId="045B7F20" w14:textId="4B152DEE" w:rsidR="001E2FB4" w:rsidRPr="001E2FB4" w:rsidRDefault="00E37C87" w:rsidP="001E2FB4">
      <w:pPr>
        <w:ind w:firstLine="720"/>
        <w:jc w:val="both"/>
        <w:rPr>
          <w:rFonts w:cstheme="minorHAnsi"/>
        </w:rPr>
      </w:pPr>
      <w:r>
        <w:rPr>
          <w:rFonts w:cstheme="minorHAnsi"/>
        </w:rPr>
        <w:t>Kvalitātes vadības ietvaros tika veikts</w:t>
      </w:r>
      <w:r w:rsidR="001E2FB4" w:rsidRPr="001E2FB4">
        <w:rPr>
          <w:rFonts w:cstheme="minorHAnsi"/>
        </w:rPr>
        <w:t xml:space="preserve"> iekšējo normatīvo aktu pārskatīšana un pilnveidošana: </w:t>
      </w:r>
    </w:p>
    <w:p w14:paraId="4528A15A" w14:textId="77777777" w:rsidR="001E2FB4" w:rsidRPr="001E2FB4" w:rsidRDefault="001E2FB4" w:rsidP="001E2FB4">
      <w:pPr>
        <w:pStyle w:val="Sarakstarindkopa"/>
        <w:numPr>
          <w:ilvl w:val="0"/>
          <w:numId w:val="9"/>
        </w:numPr>
        <w:jc w:val="both"/>
        <w:rPr>
          <w:rFonts w:cstheme="minorHAnsi"/>
        </w:rPr>
      </w:pPr>
      <w:r w:rsidRPr="001E2FB4">
        <w:rPr>
          <w:rFonts w:cstheme="minorHAnsi"/>
        </w:rPr>
        <w:t>“Metodiskās rekomendācijas pacienta ierobežošanas (fiksācijas) gadījumā VSIA “Slimnīcā “Ģintermuiža”” – apstiprināti 23.03.2023, rīkojums Nr. 30)</w:t>
      </w:r>
    </w:p>
    <w:p w14:paraId="42C2D269" w14:textId="77777777" w:rsidR="001E2FB4" w:rsidRPr="001E2FB4" w:rsidRDefault="001E2FB4" w:rsidP="001E2FB4">
      <w:pPr>
        <w:pStyle w:val="Sarakstarindkopa"/>
        <w:numPr>
          <w:ilvl w:val="0"/>
          <w:numId w:val="9"/>
        </w:numPr>
        <w:jc w:val="both"/>
        <w:rPr>
          <w:rFonts w:cstheme="minorHAnsi"/>
        </w:rPr>
      </w:pPr>
      <w:r w:rsidRPr="001E2FB4">
        <w:rPr>
          <w:rFonts w:cstheme="minorHAnsi"/>
        </w:rPr>
        <w:t>VSIA „Slimnīcas „Ģintermuiža”„ Medicīnisko dokumentu lietvedības kārtības nolikums”</w:t>
      </w:r>
    </w:p>
    <w:p w14:paraId="470EE262" w14:textId="333EFACD" w:rsidR="001E2FB4" w:rsidRPr="001E2FB4" w:rsidRDefault="001E2FB4" w:rsidP="001E2FB4">
      <w:pPr>
        <w:pStyle w:val="Sarakstarindkopa"/>
        <w:numPr>
          <w:ilvl w:val="0"/>
          <w:numId w:val="9"/>
        </w:numPr>
        <w:jc w:val="both"/>
        <w:rPr>
          <w:rFonts w:cstheme="minorHAnsi"/>
        </w:rPr>
      </w:pPr>
      <w:r w:rsidRPr="001E2FB4">
        <w:rPr>
          <w:rFonts w:cstheme="minorHAnsi"/>
        </w:rPr>
        <w:t xml:space="preserve">uzsākta pusaudžu uzņemšanas kārtības izstrādāšana narkoloģiskā motivācijas programmā. </w:t>
      </w:r>
    </w:p>
    <w:p w14:paraId="210F9415" w14:textId="287D5D23" w:rsidR="001E2FB4" w:rsidRPr="001E2FB4" w:rsidRDefault="00EA2052" w:rsidP="001E2FB4">
      <w:pPr>
        <w:ind w:firstLine="720"/>
        <w:jc w:val="both"/>
        <w:rPr>
          <w:rFonts w:cstheme="minorHAnsi"/>
        </w:rPr>
      </w:pPr>
      <w:r>
        <w:rPr>
          <w:rFonts w:cstheme="minorHAnsi"/>
        </w:rPr>
        <w:t>Pārskata periodā</w:t>
      </w:r>
      <w:r w:rsidR="001E2FB4" w:rsidRPr="001E2FB4">
        <w:rPr>
          <w:rFonts w:cstheme="minorHAnsi"/>
        </w:rPr>
        <w:t xml:space="preserve"> saņemts viens fiziskās personas trauksmes cēlēja ziņojums</w:t>
      </w:r>
      <w:r w:rsidR="0022600A">
        <w:rPr>
          <w:rFonts w:cstheme="minorHAnsi"/>
        </w:rPr>
        <w:t xml:space="preserve">, kas </w:t>
      </w:r>
      <w:r w:rsidR="0022600A" w:rsidRPr="0022600A">
        <w:rPr>
          <w:rFonts w:cstheme="minorHAnsi"/>
        </w:rPr>
        <w:t>n</w:t>
      </w:r>
      <w:r w:rsidR="001E2FB4" w:rsidRPr="0022600A">
        <w:rPr>
          <w:rFonts w:cstheme="minorHAnsi"/>
        </w:rPr>
        <w:t>etika atzīsts par trauksmes cēlāja ziņojumu.</w:t>
      </w:r>
      <w:r w:rsidR="001E2FB4" w:rsidRPr="001E2FB4">
        <w:rPr>
          <w:rFonts w:cstheme="minorHAnsi"/>
        </w:rPr>
        <w:t xml:space="preserve"> Ziņojumā norādītā informācija izskatīta atbilstoši Iesniegumu likumā noteiktajai kārtībai. Tika veikta sūdzībā minēto faktu pārbaude un pieprasīts paskaidrojums  no gadījuma iesaistītās ārstniecības personas. Lai pilnveidotu cieņa principu starp personālu un pacientu tuviniekiem pēc iesnieguma izskatīšanas un situācijas izvērtēšanas tika veikta individuāla saruna ar Uzņemšanas nodaļas vadītāju un veikta atgadījuma apspriešana ar Gerontopsihiatrijas nodaļas vadītāju un virsmāsu.</w:t>
      </w:r>
    </w:p>
    <w:p w14:paraId="6DB0B23B" w14:textId="77777777" w:rsidR="001E2FB4" w:rsidRPr="001E2FB4" w:rsidRDefault="001E2FB4" w:rsidP="001E2FB4">
      <w:pPr>
        <w:ind w:firstLine="720"/>
        <w:jc w:val="both"/>
        <w:rPr>
          <w:rFonts w:cstheme="minorHAnsi"/>
        </w:rPr>
      </w:pPr>
      <w:r w:rsidRPr="001E2FB4">
        <w:rPr>
          <w:rFonts w:cstheme="minorHAnsi"/>
        </w:rPr>
        <w:t xml:space="preserve">Pabeigta gadījuma analīze par pacientes suicīdu Neirožu nodaļā. Izstrādāti priekšlikumi, nolūkā uzlabot pacientu veselības aprūpi un ieviest risku mazinošus pasākumus, lai ierobežotu negadījumu, kas saistīti ar pacientu drošību, atkārtošanas iespējas. Saplānota ārstu klīniskā konference saistībā ar šo gadījumu. </w:t>
      </w:r>
    </w:p>
    <w:p w14:paraId="2EB28203" w14:textId="744685A5" w:rsidR="001E2FB4" w:rsidRPr="001E2FB4" w:rsidRDefault="008E3691" w:rsidP="001E2FB4">
      <w:pPr>
        <w:ind w:firstLine="720"/>
        <w:jc w:val="both"/>
        <w:rPr>
          <w:rFonts w:cstheme="minorHAnsi"/>
        </w:rPr>
      </w:pPr>
      <w:r>
        <w:rPr>
          <w:rFonts w:cstheme="minorHAnsi"/>
        </w:rPr>
        <w:t>R</w:t>
      </w:r>
      <w:r w:rsidR="001E2FB4" w:rsidRPr="001E2FB4">
        <w:rPr>
          <w:rFonts w:cstheme="minorHAnsi"/>
        </w:rPr>
        <w:t>eģistrēti 4 pacientu kritienu gadījumi (Gerontopsihiatrijas nodaļa – 2 gadījumi, 2.APN – 1 gadījums, 3.APN – 1 gadījums).</w:t>
      </w:r>
      <w:r>
        <w:rPr>
          <w:rFonts w:cstheme="minorHAnsi"/>
        </w:rPr>
        <w:t xml:space="preserve"> </w:t>
      </w:r>
      <w:r w:rsidR="001E2FB4" w:rsidRPr="001E2FB4">
        <w:rPr>
          <w:rFonts w:cstheme="minorHAnsi"/>
        </w:rPr>
        <w:t xml:space="preserve">Visi kritienu gadījumi tika reģistrēti datu bāzē un izanalizēti. </w:t>
      </w:r>
    </w:p>
    <w:p w14:paraId="11327B3E" w14:textId="77777777" w:rsidR="001E2FB4" w:rsidRPr="001E2FB4" w:rsidRDefault="001E2FB4" w:rsidP="001E2FB4">
      <w:pPr>
        <w:ind w:firstLine="720"/>
        <w:jc w:val="both"/>
        <w:rPr>
          <w:rFonts w:cstheme="minorHAnsi"/>
        </w:rPr>
      </w:pPr>
      <w:r w:rsidRPr="001E2FB4">
        <w:rPr>
          <w:rFonts w:cstheme="minorHAnsi"/>
        </w:rPr>
        <w:t xml:space="preserve">Saņemti 11 zvani uz anonīmo tālruni no slimnīcas pacientiem un iedzīvotājiem. Visi zvani bija kļūdaini vai “klusi”, vai ar neskaidru sūdzības būtību. </w:t>
      </w:r>
    </w:p>
    <w:p w14:paraId="58AEBE4E" w14:textId="77777777" w:rsidR="001E2FB4" w:rsidRPr="001E2FB4" w:rsidRDefault="001E2FB4" w:rsidP="001E2FB4">
      <w:pPr>
        <w:ind w:firstLine="720"/>
        <w:jc w:val="both"/>
        <w:rPr>
          <w:rFonts w:cstheme="minorHAnsi"/>
        </w:rPr>
      </w:pPr>
      <w:r w:rsidRPr="001E2FB4">
        <w:rPr>
          <w:rFonts w:cstheme="minorHAnsi"/>
        </w:rPr>
        <w:t xml:space="preserve">Atbilstoši epidemioloģiskai situācijai saistībā ar pacientu un klientu saslimšanu ar COVID-19 infekciju tika sniegtas konsultācijas par pretepidēmisko pasākumu ieviešanu un ievērošanu stacionāros.  </w:t>
      </w:r>
    </w:p>
    <w:p w14:paraId="42C7ACCC" w14:textId="51A1D63E" w:rsidR="001E2FB4" w:rsidRPr="001E2FB4" w:rsidRDefault="008E3691" w:rsidP="001E2FB4">
      <w:pPr>
        <w:ind w:firstLine="720"/>
        <w:jc w:val="both"/>
        <w:rPr>
          <w:rFonts w:cstheme="minorHAnsi"/>
        </w:rPr>
      </w:pPr>
      <w:r>
        <w:rPr>
          <w:rFonts w:cstheme="minorHAnsi"/>
        </w:rPr>
        <w:t>U</w:t>
      </w:r>
      <w:r w:rsidR="001E2FB4" w:rsidRPr="001E2FB4">
        <w:rPr>
          <w:rFonts w:cstheme="minorHAnsi"/>
        </w:rPr>
        <w:t>zsākta un ir veikta atteikumu analīze stacionēšanai.</w:t>
      </w:r>
    </w:p>
    <w:p w14:paraId="3BA396E8" w14:textId="77777777" w:rsidR="008D79D0" w:rsidRPr="003D07A2" w:rsidRDefault="008D79D0" w:rsidP="008D79D0">
      <w:pPr>
        <w:spacing w:after="0"/>
        <w:rPr>
          <w:rFonts w:cstheme="minorHAnsi"/>
          <w:b/>
          <w:bCs/>
        </w:rPr>
      </w:pPr>
      <w:r w:rsidRPr="003D07A2">
        <w:rPr>
          <w:rFonts w:cstheme="minorHAnsi"/>
          <w:b/>
          <w:bCs/>
        </w:rPr>
        <w:t xml:space="preserve">Pasākumi </w:t>
      </w:r>
      <w:r w:rsidR="001E4B6A" w:rsidRPr="003D07A2">
        <w:rPr>
          <w:rFonts w:cstheme="minorHAnsi"/>
          <w:b/>
          <w:bCs/>
        </w:rPr>
        <w:t>S</w:t>
      </w:r>
      <w:r w:rsidRPr="003D07A2">
        <w:rPr>
          <w:rFonts w:cstheme="minorHAnsi"/>
          <w:b/>
          <w:bCs/>
        </w:rPr>
        <w:t>abiedrības darbības efektivitātes uzlabošanā</w:t>
      </w:r>
    </w:p>
    <w:p w14:paraId="091FD118" w14:textId="72E68716" w:rsidR="00AD54D9" w:rsidRPr="00AD54D9" w:rsidRDefault="008C5DEB" w:rsidP="00AD54D9">
      <w:pPr>
        <w:spacing w:before="100" w:beforeAutospacing="1" w:after="0" w:line="276" w:lineRule="auto"/>
        <w:jc w:val="both"/>
        <w:rPr>
          <w:rFonts w:cstheme="minorHAnsi"/>
        </w:rPr>
      </w:pPr>
      <w:r>
        <w:rPr>
          <w:rFonts w:cstheme="minorHAnsi"/>
        </w:rPr>
        <w:t>Pārskata perioda</w:t>
      </w:r>
      <w:r w:rsidR="00AD54D9" w:rsidRPr="00AD54D9">
        <w:rPr>
          <w:rFonts w:cstheme="minorHAnsi"/>
        </w:rPr>
        <w:t xml:space="preserve"> 17.janvārī tika veikta iekšējā kontrole 2. un 3. akūtās psihiatrijas nodaļās pēc izstrādātā metodiskā palīgmateriāla “Medicīniskās dokumentācijas, ārstniecisko izmeklējumu un konsultāciju “čekliste” akūtās psihiatrijas nodaļās pacientiem ar tiesas lēmumu noteiktu medicīniska rakstura piespiedu līdzekli – ārstēšanos VSIA “Slimnīca “Ģintermuiža”” ar mērķi uzlabot ārstēšanas, aprūpes, slimību profilakses un medicīniskās dokumentācijas ierakstu kvalitāti, kā arī pilnveidotu nodaļas darba organizāciju, nosakot plānoto darbu termiņus, atbildīgās personas. Izmantojot “instrumentu”, nodaļas vadībai ir iespēja veikt iekšējo procesu auditu un ilgtermiņā izvērtēt, vai izvirzītie mērķi ir sasniegti. </w:t>
      </w:r>
    </w:p>
    <w:p w14:paraId="24A53B5F" w14:textId="77777777" w:rsidR="00AD54D9" w:rsidRPr="00AD54D9" w:rsidRDefault="00AD54D9" w:rsidP="00AD54D9">
      <w:pPr>
        <w:spacing w:before="100" w:beforeAutospacing="1" w:after="0" w:line="276" w:lineRule="auto"/>
        <w:jc w:val="both"/>
        <w:rPr>
          <w:rFonts w:cstheme="minorHAnsi"/>
        </w:rPr>
      </w:pPr>
      <w:r w:rsidRPr="00AD54D9">
        <w:rPr>
          <w:rFonts w:cstheme="minorHAnsi"/>
        </w:rPr>
        <w:lastRenderedPageBreak/>
        <w:t>Šis bija jau trešais audits kopš “čekliste” tika izveidota un pielietota. Sasniegtie rezultāti liecina par to, ka šis palīgmateriāls būtiski disciplinē, uzlabo nodaļu medicīnisko dokumentu ierakstu kvalitāti un darba plānošanu saistībā ar pacientu ārstēšanu, aprūpi un novērošanu dinamikā. No maksimāli iespējamiem 50 punktiem abās nodaļās tika iegūti 33 punkti. Turpmākā periodā vairāk uzmanība jāpievērš pašdisciplīnai kategorijā – iekšējā kontrole. Rezultāti tika analizēti nodaļas vadības un personāla līmenī. Tika izteikti ierosinājumi un veidi kā  veicināt pašdisciplīnu un uzlabot rādītājus nākamajā ceturksnī. Nākamais pārbaudes termiņš noteikts š.g. maijā.</w:t>
      </w:r>
    </w:p>
    <w:p w14:paraId="71E36115" w14:textId="77777777" w:rsidR="00AD54D9" w:rsidRPr="00AD54D9" w:rsidRDefault="00AD54D9" w:rsidP="00AD54D9">
      <w:pPr>
        <w:spacing w:before="100" w:beforeAutospacing="1" w:after="0" w:line="276" w:lineRule="auto"/>
        <w:jc w:val="both"/>
        <w:rPr>
          <w:rFonts w:cstheme="minorHAnsi"/>
        </w:rPr>
      </w:pPr>
    </w:p>
    <w:p w14:paraId="3B105DF6" w14:textId="753AD1BD"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t xml:space="preserve">SIA “Hydrox” š.g. 10. februārī VSIA “Slimnīcai ‘”Ģintermuiža”’ aprobācijai uz vienu mēnesi piegādāja bezmaksas SafeR® Syringe jauna tipa šļirces un adatas, kas maksimāli samazina darba vides riska faktorus ( </w:t>
      </w:r>
      <w:r w:rsidRPr="00AD54D9">
        <w:rPr>
          <w:rFonts w:cstheme="minorHAnsi"/>
        </w:rPr>
        <w:t>nelaimes gadījumu riski jeb t.s. mehāniskie un traumatisma riska faktori (saduršanās ar asiem priekšmetiem (piemēram, adatām, skalpeļiem u.tml.) un bioloģiskie faktori (B un C hepatīts, HIV/AIDS, tuberkuloze u.tml.)</w:t>
      </w:r>
      <w:r w:rsidRPr="00AD54D9">
        <w:rPr>
          <w:rFonts w:eastAsia="Times New Roman" w:cstheme="minorHAnsi"/>
          <w:color w:val="050505"/>
          <w:lang w:eastAsia="lv-LV"/>
        </w:rPr>
        <w:t xml:space="preserve">, kas ietekmē vai var ietekmēt veselības aprūpē nodarbināto stāvokli. </w:t>
      </w:r>
    </w:p>
    <w:p w14:paraId="7DF17F9A"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t xml:space="preserve">SafeR® ir automātiski ievelkama adata ar drošības mehānismu, kas paredzēta, lai nodrošinātu drošu, precīzu un uzticamu metodi šķidrumu aspirācijai un šķidrumu injekcijai tieši pēc uzpildīšanas. To paredzēts lietot zāļu ievadīšanai ādā, zemādā un muskulī. Šļircei pēc adatas pievienošanas darbojas pasīvais drošības mehānisms, kas pēc lietošanas ievelk un notur piesārņoto adatu, novēršot iespējamu inficēšanos, ko izraisa adatas dūriena radītās traumas un šļirces atkārtota lietošana. Adatas ievilkšanu ar vienu roku aktivizē šļirces lietotājs. </w:t>
      </w:r>
    </w:p>
    <w:p w14:paraId="34B943F6"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t>Aprobācijas rezultāti tiks apkopoti un analizēti kopā ar šļirču ražotājiem š.g. aprīļa mēnesī.</w:t>
      </w:r>
    </w:p>
    <w:p w14:paraId="42710883"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p>
    <w:p w14:paraId="056062C2" w14:textId="66D76061" w:rsidR="00AD54D9" w:rsidRPr="00AD54D9" w:rsidRDefault="00AD54D9" w:rsidP="00AD54D9">
      <w:pPr>
        <w:spacing w:before="100" w:beforeAutospacing="1" w:after="0" w:line="276" w:lineRule="auto"/>
        <w:jc w:val="both"/>
        <w:rPr>
          <w:rFonts w:cstheme="minorHAnsi"/>
          <w:color w:val="000000" w:themeColor="text1"/>
        </w:rPr>
      </w:pPr>
      <w:r w:rsidRPr="00AD54D9">
        <w:rPr>
          <w:rFonts w:eastAsia="Times New Roman" w:cstheme="minorHAnsi"/>
          <w:color w:val="050505"/>
          <w:lang w:eastAsia="lv-LV"/>
        </w:rPr>
        <w:t xml:space="preserve">Laika periodā no 21.02.2023. – 02.03.2023. VSIA “Slimnīca “Ģintermuiža”” tika veikta “Darba kvalitātes, higiēniskā un pretepidēmiskā režīma prasību ievērošanas un medikamentu aprites” kompleksa pārbaude stacionāra nodaļās, GVAAC un ISASRN. Rezultāti tika analizēti katras nodaļas vadības ietvaros pēc pārbaudes akta saņemšanas, kā arī ieteikumi un nepilnības tika pārrunāti tūlītēji pārbaudes laikā. Atsevišķos gadījumos tika veikts izglītojoši skaidrojošais darbs konkrētiem darbiniekiem. Pēc pārbaudes komisijas ieteikumiem, konkrētā </w:t>
      </w:r>
      <w:r w:rsidRPr="00AD54D9">
        <w:rPr>
          <w:rFonts w:cstheme="minorHAnsi"/>
          <w:color w:val="000000" w:themeColor="text1"/>
        </w:rPr>
        <w:t xml:space="preserve">struktūrvienībā </w:t>
      </w:r>
      <w:r w:rsidRPr="00AD54D9">
        <w:rPr>
          <w:rFonts w:cstheme="minorHAnsi"/>
          <w:color w:val="000000" w:themeColor="text1"/>
          <w:shd w:val="clear" w:color="auto" w:fill="FFFFFF"/>
        </w:rPr>
        <w:t xml:space="preserve">virsmāsai bija jānoorganizē nodaļas māsu sapulce, kurā </w:t>
      </w:r>
      <w:r w:rsidRPr="00AD54D9">
        <w:rPr>
          <w:rFonts w:cstheme="minorHAnsi"/>
          <w:color w:val="000000" w:themeColor="text1"/>
        </w:rPr>
        <w:t xml:space="preserve">izmantojot mācīšanās sistēmas pamatprincipus, </w:t>
      </w:r>
      <w:r w:rsidRPr="00AD54D9">
        <w:rPr>
          <w:rFonts w:cstheme="minorHAnsi"/>
          <w:color w:val="000000" w:themeColor="text1"/>
          <w:shd w:val="clear" w:color="auto" w:fill="FFFFFF"/>
        </w:rPr>
        <w:t xml:space="preserve">jāveic kļūdu analīze par māsu dokumentācijas aizpildīšanu.  Kļūdu analīzi veica </w:t>
      </w:r>
      <w:r w:rsidRPr="00AD54D9">
        <w:rPr>
          <w:rFonts w:cstheme="minorHAnsi"/>
          <w:color w:val="000000" w:themeColor="text1"/>
        </w:rPr>
        <w:t xml:space="preserve">virsmāsa izglītības un aprūpes kvalitātes jautājumos. Sapulcē piedalījās arī nodaļas vadītāja. </w:t>
      </w:r>
    </w:p>
    <w:p w14:paraId="0DE10DD0" w14:textId="5C69F135" w:rsidR="00F5591A" w:rsidRPr="00AD54D9" w:rsidRDefault="00F5591A" w:rsidP="00712DD6">
      <w:pPr>
        <w:spacing w:before="100" w:beforeAutospacing="1" w:after="100" w:afterAutospacing="1"/>
        <w:jc w:val="both"/>
        <w:rPr>
          <w:rFonts w:cstheme="minorHAnsi"/>
        </w:rPr>
      </w:pPr>
      <w:r w:rsidRPr="00AD54D9">
        <w:rPr>
          <w:rFonts w:cstheme="minorHAnsi"/>
        </w:rPr>
        <w:t>Sabiedrība turpina nodrošināt medikamentu aprites elektroniskās uzskaites sistēmas (Palma medical) izmantošanu.</w:t>
      </w:r>
    </w:p>
    <w:p w14:paraId="6757783C" w14:textId="24BF29E8" w:rsidR="00D509A7" w:rsidRPr="00AD54D9" w:rsidRDefault="00D509A7" w:rsidP="00712DD6">
      <w:pPr>
        <w:spacing w:before="100" w:beforeAutospacing="1" w:after="100" w:afterAutospacing="1"/>
        <w:jc w:val="both"/>
        <w:rPr>
          <w:rFonts w:cstheme="minorHAnsi"/>
        </w:rPr>
      </w:pPr>
      <w:r w:rsidRPr="00AD54D9">
        <w:rPr>
          <w:rFonts w:cstheme="minorHAnsi"/>
        </w:rPr>
        <w:t xml:space="preserve">Pārskata periodā </w:t>
      </w:r>
      <w:r w:rsidR="000C22A0" w:rsidRPr="00AD54D9">
        <w:rPr>
          <w:rFonts w:cstheme="minorHAnsi"/>
        </w:rPr>
        <w:t xml:space="preserve">adaptēta DVS </w:t>
      </w:r>
      <w:r w:rsidR="006828BB" w:rsidRPr="00AD54D9">
        <w:rPr>
          <w:rFonts w:cstheme="minorHAnsi"/>
        </w:rPr>
        <w:t>Namejs un uzsākta tā lietošana administrācijā.</w:t>
      </w:r>
    </w:p>
    <w:p w14:paraId="0DDB9BA3" w14:textId="77777777" w:rsidR="00F5591A" w:rsidRPr="00AD54D9" w:rsidRDefault="00F5591A" w:rsidP="00712DD6">
      <w:pPr>
        <w:spacing w:before="100" w:beforeAutospacing="1" w:after="100" w:afterAutospacing="1"/>
        <w:jc w:val="both"/>
        <w:rPr>
          <w:rFonts w:cstheme="minorHAnsi"/>
        </w:rPr>
      </w:pPr>
      <w:r w:rsidRPr="00AD54D9">
        <w:rPr>
          <w:rFonts w:cstheme="minorHAnsi"/>
        </w:rPr>
        <w:t>Vadības līmenī tiek pielietots datu analīzes rīks BI.</w:t>
      </w:r>
    </w:p>
    <w:p w14:paraId="52AF2E1E" w14:textId="77777777" w:rsidR="00370AE3" w:rsidRDefault="00E56624" w:rsidP="00E13CC8">
      <w:pPr>
        <w:pStyle w:val="Sarakstarindkopa"/>
        <w:spacing w:after="0"/>
        <w:ind w:left="0"/>
        <w:rPr>
          <w:rFonts w:cstheme="minorHAnsi"/>
        </w:rPr>
      </w:pPr>
      <w:r w:rsidRPr="00AD54D9">
        <w:rPr>
          <w:rFonts w:cstheme="minorHAnsi"/>
        </w:rPr>
        <w:t>Sabiedrība veic regulāru kvalitātes un darbības efektivitātes rādītāju monitorēšanu, analīzi un dizainēšanu atbildīgo speciālistu līmeņos.</w:t>
      </w:r>
    </w:p>
    <w:p w14:paraId="15B0FE37" w14:textId="77777777" w:rsidR="00370AE3" w:rsidRDefault="00370AE3" w:rsidP="00E13CC8">
      <w:pPr>
        <w:pStyle w:val="Sarakstarindkopa"/>
        <w:spacing w:after="0"/>
        <w:ind w:left="0"/>
        <w:rPr>
          <w:rFonts w:cstheme="minorHAnsi"/>
        </w:rPr>
      </w:pPr>
    </w:p>
    <w:p w14:paraId="68B5519F" w14:textId="25890C7E" w:rsidR="008D79D0" w:rsidRPr="003D07A2" w:rsidRDefault="008D79D0" w:rsidP="00E13CC8">
      <w:pPr>
        <w:pStyle w:val="Sarakstarindkopa"/>
        <w:spacing w:after="0"/>
        <w:ind w:left="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Tiek monitorēti pakalpojumu sniegšanas efektivitātes rādītāji un veikta pakalpojuma uzskaites dokumentu analīze un kvalitātes kontrole.</w:t>
      </w:r>
    </w:p>
    <w:sectPr w:rsidR="00F5591A" w:rsidRPr="003D07A2" w:rsidSect="00175E68">
      <w:headerReference w:type="default" r:id="rId8"/>
      <w:footerReference w:type="default" r:id="rId9"/>
      <w:pgSz w:w="11906" w:h="16838" w:code="9"/>
      <w:pgMar w:top="1134"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EF28" w14:textId="77777777" w:rsidR="00D43CE6" w:rsidRDefault="00D43CE6" w:rsidP="00AE3541">
      <w:pPr>
        <w:spacing w:after="0" w:line="240" w:lineRule="auto"/>
      </w:pPr>
      <w:r>
        <w:separator/>
      </w:r>
    </w:p>
  </w:endnote>
  <w:endnote w:type="continuationSeparator" w:id="0">
    <w:p w14:paraId="737FF227" w14:textId="77777777" w:rsidR="00D43CE6" w:rsidRDefault="00D43CE6"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8334" w14:textId="77777777" w:rsidR="00D43CE6" w:rsidRDefault="00D43CE6" w:rsidP="00AE3541">
      <w:pPr>
        <w:spacing w:after="0" w:line="240" w:lineRule="auto"/>
      </w:pPr>
      <w:r>
        <w:separator/>
      </w:r>
    </w:p>
  </w:footnote>
  <w:footnote w:type="continuationSeparator" w:id="0">
    <w:p w14:paraId="6C2D0736" w14:textId="77777777" w:rsidR="00D43CE6" w:rsidRDefault="00D43CE6" w:rsidP="00AE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Ind w:w="1555"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5"/>
      <w:gridCol w:w="3969"/>
    </w:tblGrid>
    <w:tr w:rsidR="00765D57" w:rsidRPr="00765D57" w14:paraId="32F36E71" w14:textId="77777777" w:rsidTr="006C5619">
      <w:trPr>
        <w:trHeight w:val="1125"/>
      </w:trPr>
      <w:tc>
        <w:tcPr>
          <w:tcW w:w="1275" w:type="dxa"/>
        </w:tcPr>
        <w:p w14:paraId="7CFE5A65" w14:textId="597391F7" w:rsidR="008275B6" w:rsidRDefault="008275B6" w:rsidP="008275B6">
          <w:pPr>
            <w:pStyle w:val="Galvene"/>
            <w:rPr>
              <w:rFonts w:ascii="Times New Roman" w:hAnsi="Times New Roman" w:cs="Times New Roman"/>
              <w:i/>
              <w:iCs/>
            </w:rPr>
          </w:pPr>
          <w:r w:rsidRPr="008275B6">
            <w:rPr>
              <w:rFonts w:ascii="Times New Roman" w:hAnsi="Times New Roman" w:cs="Times New Roman"/>
              <w:b/>
              <w:bCs/>
              <w:noProof/>
              <w:sz w:val="32"/>
              <w:szCs w:val="32"/>
            </w:rPr>
            <w:drawing>
              <wp:anchor distT="0" distB="0" distL="114300" distR="114300" simplePos="0" relativeHeight="251658240" behindDoc="0" locked="0" layoutInCell="1" allowOverlap="1" wp14:anchorId="07723CDB" wp14:editId="05AF8E89">
                <wp:simplePos x="0" y="0"/>
                <wp:positionH relativeFrom="margin">
                  <wp:posOffset>80645</wp:posOffset>
                </wp:positionH>
                <wp:positionV relativeFrom="paragraph">
                  <wp:posOffset>0</wp:posOffset>
                </wp:positionV>
                <wp:extent cx="514350" cy="637540"/>
                <wp:effectExtent l="0" t="0" r="0" b="0"/>
                <wp:wrapSquare wrapText="bothSides"/>
                <wp:docPr id="2300937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298A7E55" w14:textId="411D5E24" w:rsidR="008275B6" w:rsidRPr="00765D57" w:rsidRDefault="008275B6" w:rsidP="00765D57">
          <w:pPr>
            <w:pStyle w:val="Galvene"/>
            <w:contextualSpacing/>
            <w:rPr>
              <w:rFonts w:ascii="Times New Roman" w:hAnsi="Times New Roman" w:cs="Times New Roman"/>
              <w:b/>
              <w:bCs/>
              <w:color w:val="1C572B"/>
              <w:sz w:val="16"/>
              <w:szCs w:val="16"/>
            </w:rPr>
          </w:pPr>
          <w:r w:rsidRPr="00765D57">
            <w:rPr>
              <w:rFonts w:ascii="Times New Roman" w:hAnsi="Times New Roman" w:cs="Times New Roman"/>
              <w:b/>
              <w:bCs/>
              <w:color w:val="1C572B"/>
              <w:sz w:val="16"/>
              <w:szCs w:val="16"/>
            </w:rPr>
            <w:t xml:space="preserve"> </w:t>
          </w:r>
        </w:p>
        <w:p w14:paraId="6AE265C1" w14:textId="56F5AA13" w:rsidR="008275B6" w:rsidRPr="00765D57" w:rsidRDefault="008275B6" w:rsidP="00765D57">
          <w:pPr>
            <w:pStyle w:val="Galvene"/>
            <w:contextualSpacing/>
            <w:rPr>
              <w:rFonts w:ascii="Times New Roman" w:hAnsi="Times New Roman" w:cs="Times New Roman"/>
              <w:b/>
              <w:bCs/>
              <w:color w:val="1C572B"/>
              <w:sz w:val="32"/>
              <w:szCs w:val="32"/>
            </w:rPr>
          </w:pPr>
          <w:r w:rsidRPr="00765D57">
            <w:rPr>
              <w:rFonts w:ascii="Times New Roman" w:hAnsi="Times New Roman" w:cs="Times New Roman"/>
              <w:b/>
              <w:bCs/>
              <w:color w:val="1C572B"/>
              <w:sz w:val="32"/>
              <w:szCs w:val="32"/>
            </w:rPr>
            <w:t>ĢINTERMUIŽA</w:t>
          </w:r>
        </w:p>
        <w:p w14:paraId="44DED08C" w14:textId="0A669886" w:rsidR="008275B6" w:rsidRPr="00765D57" w:rsidRDefault="008275B6" w:rsidP="00765D57">
          <w:pPr>
            <w:pStyle w:val="Galvene"/>
            <w:contextualSpacing/>
            <w:rPr>
              <w:rFonts w:ascii="Times New Roman" w:hAnsi="Times New Roman" w:cs="Times New Roman"/>
              <w:i/>
              <w:iCs/>
              <w:color w:val="0A8943"/>
            </w:rPr>
          </w:pPr>
          <w:r w:rsidRPr="00765D57">
            <w:rPr>
              <w:rFonts w:ascii="Times New Roman" w:hAnsi="Times New Roman" w:cs="Times New Roman"/>
              <w:i/>
              <w:iCs/>
              <w:color w:val="0A8943"/>
            </w:rPr>
            <w:t>Prāta skaidrībai un gara līdzsvaram!</w:t>
          </w:r>
        </w:p>
      </w:tc>
    </w:tr>
  </w:tbl>
  <w:p w14:paraId="1014ECE1" w14:textId="120A8432" w:rsidR="008275B6" w:rsidRDefault="006C5619" w:rsidP="008275B6">
    <w:pPr>
      <w:pStyle w:val="Galvene"/>
      <w:rPr>
        <w:rFonts w:ascii="Times New Roman" w:hAnsi="Times New Roman" w:cs="Times New Roman"/>
        <w:i/>
        <w:iCs/>
      </w:rPr>
    </w:pPr>
    <w:r>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387E1BD3" wp14:editId="3102380D">
              <wp:simplePos x="0" y="0"/>
              <wp:positionH relativeFrom="margin">
                <wp:align>center</wp:align>
              </wp:positionH>
              <wp:positionV relativeFrom="paragraph">
                <wp:posOffset>50165</wp:posOffset>
              </wp:positionV>
              <wp:extent cx="4524375" cy="0"/>
              <wp:effectExtent l="0" t="0" r="0" b="0"/>
              <wp:wrapNone/>
              <wp:docPr id="763719220" name="Taisns savienotājs 2"/>
              <wp:cNvGraphicFramePr/>
              <a:graphic xmlns:a="http://schemas.openxmlformats.org/drawingml/2006/main">
                <a:graphicData uri="http://schemas.microsoft.com/office/word/2010/wordprocessingShape">
                  <wps:wsp>
                    <wps:cNvCnPr/>
                    <wps:spPr>
                      <a:xfrm>
                        <a:off x="0" y="0"/>
                        <a:ext cx="4524375" cy="0"/>
                      </a:xfrm>
                      <a:prstGeom prst="line">
                        <a:avLst/>
                      </a:prstGeom>
                      <a:ln>
                        <a:solidFill>
                          <a:srgbClr val="0A8943"/>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4F6F7" id="Taisns savienotājs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5pt" to="35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" strokecolor="#0a8943" strokeweight="1.5pt">
              <v:stroke joinstyle="miter"/>
              <w10:wrap anchorx="margin"/>
            </v:line>
          </w:pict>
        </mc:Fallback>
      </mc:AlternateContent>
    </w:r>
  </w:p>
  <w:p w14:paraId="08A7D630" w14:textId="77777777" w:rsidR="008275B6" w:rsidRPr="008275B6" w:rsidRDefault="008275B6" w:rsidP="008275B6">
    <w:pPr>
      <w:pStyle w:val="Galvene"/>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607E9E"/>
    <w:multiLevelType w:val="hybridMultilevel"/>
    <w:tmpl w:val="9DB0F524"/>
    <w:lvl w:ilvl="0" w:tplc="B954563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2E2AF2"/>
    <w:multiLevelType w:val="hybridMultilevel"/>
    <w:tmpl w:val="5FDE2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F5857"/>
    <w:multiLevelType w:val="hybridMultilevel"/>
    <w:tmpl w:val="2CC870C0"/>
    <w:lvl w:ilvl="0" w:tplc="BA000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7942027">
    <w:abstractNumId w:val="0"/>
  </w:num>
  <w:num w:numId="2" w16cid:durableId="1522165412">
    <w:abstractNumId w:val="7"/>
  </w:num>
  <w:num w:numId="3" w16cid:durableId="994335056">
    <w:abstractNumId w:val="5"/>
  </w:num>
  <w:num w:numId="4" w16cid:durableId="1547449695">
    <w:abstractNumId w:val="1"/>
  </w:num>
  <w:num w:numId="5" w16cid:durableId="1483767105">
    <w:abstractNumId w:val="6"/>
  </w:num>
  <w:num w:numId="6" w16cid:durableId="1731465913">
    <w:abstractNumId w:val="8"/>
  </w:num>
  <w:num w:numId="7" w16cid:durableId="363870209">
    <w:abstractNumId w:val="4"/>
  </w:num>
  <w:num w:numId="8" w16cid:durableId="1842968457">
    <w:abstractNumId w:val="3"/>
  </w:num>
  <w:num w:numId="9" w16cid:durableId="47822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88E"/>
    <w:rsid w:val="000027E0"/>
    <w:rsid w:val="00004C25"/>
    <w:rsid w:val="00005BDD"/>
    <w:rsid w:val="00006A2B"/>
    <w:rsid w:val="00011898"/>
    <w:rsid w:val="00013768"/>
    <w:rsid w:val="00016C25"/>
    <w:rsid w:val="0001742B"/>
    <w:rsid w:val="00020EBD"/>
    <w:rsid w:val="00021117"/>
    <w:rsid w:val="00027683"/>
    <w:rsid w:val="00027DF4"/>
    <w:rsid w:val="00033934"/>
    <w:rsid w:val="0003762A"/>
    <w:rsid w:val="00040C1E"/>
    <w:rsid w:val="000421E2"/>
    <w:rsid w:val="000557AF"/>
    <w:rsid w:val="00061C66"/>
    <w:rsid w:val="00062455"/>
    <w:rsid w:val="00072B5D"/>
    <w:rsid w:val="00073F64"/>
    <w:rsid w:val="00075905"/>
    <w:rsid w:val="00080CEB"/>
    <w:rsid w:val="00086188"/>
    <w:rsid w:val="00086EA7"/>
    <w:rsid w:val="00090ACE"/>
    <w:rsid w:val="00091868"/>
    <w:rsid w:val="00095CF4"/>
    <w:rsid w:val="000A28B8"/>
    <w:rsid w:val="000A70AD"/>
    <w:rsid w:val="000B51FF"/>
    <w:rsid w:val="000B5D23"/>
    <w:rsid w:val="000C0B25"/>
    <w:rsid w:val="000C22A0"/>
    <w:rsid w:val="000C4877"/>
    <w:rsid w:val="000C4CC7"/>
    <w:rsid w:val="000C54E5"/>
    <w:rsid w:val="000C56ED"/>
    <w:rsid w:val="000C65B8"/>
    <w:rsid w:val="000C7EA7"/>
    <w:rsid w:val="000E4008"/>
    <w:rsid w:val="000E462B"/>
    <w:rsid w:val="000F236C"/>
    <w:rsid w:val="000F64FC"/>
    <w:rsid w:val="00100A69"/>
    <w:rsid w:val="00101769"/>
    <w:rsid w:val="00107397"/>
    <w:rsid w:val="0010757F"/>
    <w:rsid w:val="00111AFB"/>
    <w:rsid w:val="00116640"/>
    <w:rsid w:val="00117AAA"/>
    <w:rsid w:val="0012448E"/>
    <w:rsid w:val="001248A7"/>
    <w:rsid w:val="0012512C"/>
    <w:rsid w:val="00125F27"/>
    <w:rsid w:val="001274D0"/>
    <w:rsid w:val="001320CA"/>
    <w:rsid w:val="00135C75"/>
    <w:rsid w:val="00137EBF"/>
    <w:rsid w:val="00141D57"/>
    <w:rsid w:val="00156676"/>
    <w:rsid w:val="001579A3"/>
    <w:rsid w:val="00157A00"/>
    <w:rsid w:val="00161601"/>
    <w:rsid w:val="00162132"/>
    <w:rsid w:val="001629FA"/>
    <w:rsid w:val="00170195"/>
    <w:rsid w:val="001739AA"/>
    <w:rsid w:val="00173AC7"/>
    <w:rsid w:val="00175436"/>
    <w:rsid w:val="00175E68"/>
    <w:rsid w:val="00176BE6"/>
    <w:rsid w:val="00177213"/>
    <w:rsid w:val="0018133E"/>
    <w:rsid w:val="0018783C"/>
    <w:rsid w:val="001879A6"/>
    <w:rsid w:val="001940E4"/>
    <w:rsid w:val="001954DC"/>
    <w:rsid w:val="001965DD"/>
    <w:rsid w:val="001A2651"/>
    <w:rsid w:val="001A6540"/>
    <w:rsid w:val="001A65E1"/>
    <w:rsid w:val="001A7697"/>
    <w:rsid w:val="001B1154"/>
    <w:rsid w:val="001B4386"/>
    <w:rsid w:val="001B57F1"/>
    <w:rsid w:val="001B6F79"/>
    <w:rsid w:val="001C5AF4"/>
    <w:rsid w:val="001D2AFE"/>
    <w:rsid w:val="001D396D"/>
    <w:rsid w:val="001E0226"/>
    <w:rsid w:val="001E07AC"/>
    <w:rsid w:val="001E2FB4"/>
    <w:rsid w:val="001E4B44"/>
    <w:rsid w:val="001E4B6A"/>
    <w:rsid w:val="001E59ED"/>
    <w:rsid w:val="001E5DA4"/>
    <w:rsid w:val="001E740D"/>
    <w:rsid w:val="001F17FA"/>
    <w:rsid w:val="001F4B5F"/>
    <w:rsid w:val="001F6102"/>
    <w:rsid w:val="00210E88"/>
    <w:rsid w:val="00211643"/>
    <w:rsid w:val="00212DA5"/>
    <w:rsid w:val="002138EC"/>
    <w:rsid w:val="00215612"/>
    <w:rsid w:val="00216373"/>
    <w:rsid w:val="00221F34"/>
    <w:rsid w:val="002239F0"/>
    <w:rsid w:val="0022600A"/>
    <w:rsid w:val="00226245"/>
    <w:rsid w:val="00234BEE"/>
    <w:rsid w:val="00234DCD"/>
    <w:rsid w:val="00247359"/>
    <w:rsid w:val="00247631"/>
    <w:rsid w:val="0024783B"/>
    <w:rsid w:val="00260E2C"/>
    <w:rsid w:val="00262ACA"/>
    <w:rsid w:val="00267BEC"/>
    <w:rsid w:val="00271864"/>
    <w:rsid w:val="00271992"/>
    <w:rsid w:val="0027263A"/>
    <w:rsid w:val="00272744"/>
    <w:rsid w:val="00272899"/>
    <w:rsid w:val="00282B20"/>
    <w:rsid w:val="0028718E"/>
    <w:rsid w:val="00291B57"/>
    <w:rsid w:val="002923E6"/>
    <w:rsid w:val="002978D0"/>
    <w:rsid w:val="002A261E"/>
    <w:rsid w:val="002A6BBB"/>
    <w:rsid w:val="002B195A"/>
    <w:rsid w:val="002B243D"/>
    <w:rsid w:val="002B56EE"/>
    <w:rsid w:val="002B638C"/>
    <w:rsid w:val="002B7C69"/>
    <w:rsid w:val="002C17FC"/>
    <w:rsid w:val="002C25FC"/>
    <w:rsid w:val="002C30C7"/>
    <w:rsid w:val="002C63E4"/>
    <w:rsid w:val="002D469B"/>
    <w:rsid w:val="002D5F2E"/>
    <w:rsid w:val="002D624C"/>
    <w:rsid w:val="002D7163"/>
    <w:rsid w:val="002E325E"/>
    <w:rsid w:val="002E41B5"/>
    <w:rsid w:val="002E5B69"/>
    <w:rsid w:val="002F39B7"/>
    <w:rsid w:val="002F6693"/>
    <w:rsid w:val="002F6718"/>
    <w:rsid w:val="00302B00"/>
    <w:rsid w:val="00313B92"/>
    <w:rsid w:val="003155EB"/>
    <w:rsid w:val="00316600"/>
    <w:rsid w:val="00316C27"/>
    <w:rsid w:val="003226D3"/>
    <w:rsid w:val="00326431"/>
    <w:rsid w:val="003272B3"/>
    <w:rsid w:val="00327B4A"/>
    <w:rsid w:val="003328C9"/>
    <w:rsid w:val="00334DEF"/>
    <w:rsid w:val="00342F7E"/>
    <w:rsid w:val="00344625"/>
    <w:rsid w:val="003513D9"/>
    <w:rsid w:val="0035297D"/>
    <w:rsid w:val="00354A67"/>
    <w:rsid w:val="00357CF1"/>
    <w:rsid w:val="00365802"/>
    <w:rsid w:val="00366F1F"/>
    <w:rsid w:val="00367A28"/>
    <w:rsid w:val="00370AE3"/>
    <w:rsid w:val="00371B77"/>
    <w:rsid w:val="0037201A"/>
    <w:rsid w:val="003747C0"/>
    <w:rsid w:val="003807C9"/>
    <w:rsid w:val="003905A7"/>
    <w:rsid w:val="003915E0"/>
    <w:rsid w:val="00391980"/>
    <w:rsid w:val="0039494F"/>
    <w:rsid w:val="003A5DFA"/>
    <w:rsid w:val="003B1EDB"/>
    <w:rsid w:val="003B6F4C"/>
    <w:rsid w:val="003B7B57"/>
    <w:rsid w:val="003C10F6"/>
    <w:rsid w:val="003C24D1"/>
    <w:rsid w:val="003C5B10"/>
    <w:rsid w:val="003D07A2"/>
    <w:rsid w:val="003D5327"/>
    <w:rsid w:val="003E11A4"/>
    <w:rsid w:val="003E2E25"/>
    <w:rsid w:val="003E5FE6"/>
    <w:rsid w:val="003F4B57"/>
    <w:rsid w:val="003F535E"/>
    <w:rsid w:val="003F5B24"/>
    <w:rsid w:val="003F5B30"/>
    <w:rsid w:val="003F5E80"/>
    <w:rsid w:val="003F6F6E"/>
    <w:rsid w:val="003F7E76"/>
    <w:rsid w:val="004017D5"/>
    <w:rsid w:val="0040242C"/>
    <w:rsid w:val="00402B61"/>
    <w:rsid w:val="00403C8A"/>
    <w:rsid w:val="00405BE7"/>
    <w:rsid w:val="00414774"/>
    <w:rsid w:val="00415B98"/>
    <w:rsid w:val="004172BB"/>
    <w:rsid w:val="004206BB"/>
    <w:rsid w:val="004206FA"/>
    <w:rsid w:val="004236A1"/>
    <w:rsid w:val="0042644D"/>
    <w:rsid w:val="004310DC"/>
    <w:rsid w:val="00433243"/>
    <w:rsid w:val="00435414"/>
    <w:rsid w:val="004405EE"/>
    <w:rsid w:val="00441AC0"/>
    <w:rsid w:val="004432A2"/>
    <w:rsid w:val="00447ED0"/>
    <w:rsid w:val="0045080D"/>
    <w:rsid w:val="00450855"/>
    <w:rsid w:val="004615DB"/>
    <w:rsid w:val="00465289"/>
    <w:rsid w:val="0046609C"/>
    <w:rsid w:val="004923F9"/>
    <w:rsid w:val="0049422B"/>
    <w:rsid w:val="00496AAF"/>
    <w:rsid w:val="004A0A94"/>
    <w:rsid w:val="004A49EF"/>
    <w:rsid w:val="004A4E51"/>
    <w:rsid w:val="004A570C"/>
    <w:rsid w:val="004A5C04"/>
    <w:rsid w:val="004B22A1"/>
    <w:rsid w:val="004B2445"/>
    <w:rsid w:val="004B2D36"/>
    <w:rsid w:val="004B467A"/>
    <w:rsid w:val="004B4C65"/>
    <w:rsid w:val="004B54FF"/>
    <w:rsid w:val="004C3130"/>
    <w:rsid w:val="004C4B3E"/>
    <w:rsid w:val="004C5154"/>
    <w:rsid w:val="004C5AC1"/>
    <w:rsid w:val="004C6BB2"/>
    <w:rsid w:val="004D322D"/>
    <w:rsid w:val="004D3744"/>
    <w:rsid w:val="004D4E73"/>
    <w:rsid w:val="004D5EDD"/>
    <w:rsid w:val="004D60C1"/>
    <w:rsid w:val="004D75AB"/>
    <w:rsid w:val="004E0B6C"/>
    <w:rsid w:val="004E128E"/>
    <w:rsid w:val="004E1F42"/>
    <w:rsid w:val="004F2C1F"/>
    <w:rsid w:val="004F5DCF"/>
    <w:rsid w:val="00506372"/>
    <w:rsid w:val="00511CDB"/>
    <w:rsid w:val="005165B4"/>
    <w:rsid w:val="00520ECD"/>
    <w:rsid w:val="00520EE7"/>
    <w:rsid w:val="00521F16"/>
    <w:rsid w:val="005252D7"/>
    <w:rsid w:val="00531ECF"/>
    <w:rsid w:val="00534B1F"/>
    <w:rsid w:val="005362F9"/>
    <w:rsid w:val="00536756"/>
    <w:rsid w:val="00537ECE"/>
    <w:rsid w:val="0054099A"/>
    <w:rsid w:val="00541129"/>
    <w:rsid w:val="005420B4"/>
    <w:rsid w:val="005450BF"/>
    <w:rsid w:val="00545AE6"/>
    <w:rsid w:val="00545B71"/>
    <w:rsid w:val="00547333"/>
    <w:rsid w:val="00552117"/>
    <w:rsid w:val="005524CC"/>
    <w:rsid w:val="005531FB"/>
    <w:rsid w:val="00554845"/>
    <w:rsid w:val="00555A61"/>
    <w:rsid w:val="00563197"/>
    <w:rsid w:val="00564D0C"/>
    <w:rsid w:val="005663B4"/>
    <w:rsid w:val="00567D8F"/>
    <w:rsid w:val="0057081B"/>
    <w:rsid w:val="00571491"/>
    <w:rsid w:val="0058426B"/>
    <w:rsid w:val="00587186"/>
    <w:rsid w:val="00596D7D"/>
    <w:rsid w:val="00597573"/>
    <w:rsid w:val="005A3CF1"/>
    <w:rsid w:val="005B0358"/>
    <w:rsid w:val="005B2161"/>
    <w:rsid w:val="005B595A"/>
    <w:rsid w:val="005C1F5C"/>
    <w:rsid w:val="005D4047"/>
    <w:rsid w:val="005D6D1A"/>
    <w:rsid w:val="005E0954"/>
    <w:rsid w:val="005E487D"/>
    <w:rsid w:val="005E557B"/>
    <w:rsid w:val="005E78D0"/>
    <w:rsid w:val="005F0851"/>
    <w:rsid w:val="005F2442"/>
    <w:rsid w:val="005F5952"/>
    <w:rsid w:val="006011CC"/>
    <w:rsid w:val="00603C3A"/>
    <w:rsid w:val="00604455"/>
    <w:rsid w:val="00606377"/>
    <w:rsid w:val="006159D9"/>
    <w:rsid w:val="00616015"/>
    <w:rsid w:val="006173E8"/>
    <w:rsid w:val="0062116C"/>
    <w:rsid w:val="006326D0"/>
    <w:rsid w:val="00634040"/>
    <w:rsid w:val="00635394"/>
    <w:rsid w:val="006354B0"/>
    <w:rsid w:val="00637D6C"/>
    <w:rsid w:val="00641ABD"/>
    <w:rsid w:val="0064485E"/>
    <w:rsid w:val="006453B8"/>
    <w:rsid w:val="00650EAB"/>
    <w:rsid w:val="00660C13"/>
    <w:rsid w:val="00662027"/>
    <w:rsid w:val="0066262A"/>
    <w:rsid w:val="00670747"/>
    <w:rsid w:val="00670C15"/>
    <w:rsid w:val="00670C29"/>
    <w:rsid w:val="00680124"/>
    <w:rsid w:val="0068225A"/>
    <w:rsid w:val="006828BB"/>
    <w:rsid w:val="00687F12"/>
    <w:rsid w:val="0069025A"/>
    <w:rsid w:val="006935D2"/>
    <w:rsid w:val="006957FF"/>
    <w:rsid w:val="006A3177"/>
    <w:rsid w:val="006A58C0"/>
    <w:rsid w:val="006A5EFC"/>
    <w:rsid w:val="006A71A3"/>
    <w:rsid w:val="006A74B2"/>
    <w:rsid w:val="006B2C14"/>
    <w:rsid w:val="006B30FA"/>
    <w:rsid w:val="006B3B92"/>
    <w:rsid w:val="006B69E7"/>
    <w:rsid w:val="006B79D9"/>
    <w:rsid w:val="006B7F89"/>
    <w:rsid w:val="006C4476"/>
    <w:rsid w:val="006C5619"/>
    <w:rsid w:val="006D677B"/>
    <w:rsid w:val="006E19E2"/>
    <w:rsid w:val="006E37EF"/>
    <w:rsid w:val="006E39D8"/>
    <w:rsid w:val="006E705D"/>
    <w:rsid w:val="006E7B7A"/>
    <w:rsid w:val="006F5F3B"/>
    <w:rsid w:val="0071130D"/>
    <w:rsid w:val="00712DD6"/>
    <w:rsid w:val="00721D41"/>
    <w:rsid w:val="00730478"/>
    <w:rsid w:val="0073779C"/>
    <w:rsid w:val="00740162"/>
    <w:rsid w:val="00742068"/>
    <w:rsid w:val="00753BAA"/>
    <w:rsid w:val="00764CA2"/>
    <w:rsid w:val="0076598A"/>
    <w:rsid w:val="00765D57"/>
    <w:rsid w:val="00767069"/>
    <w:rsid w:val="00772971"/>
    <w:rsid w:val="00776C75"/>
    <w:rsid w:val="00781C1D"/>
    <w:rsid w:val="0078621E"/>
    <w:rsid w:val="0079478C"/>
    <w:rsid w:val="00795DD4"/>
    <w:rsid w:val="007A3DC7"/>
    <w:rsid w:val="007A4901"/>
    <w:rsid w:val="007B12D7"/>
    <w:rsid w:val="007B2D77"/>
    <w:rsid w:val="007B43FE"/>
    <w:rsid w:val="007B504E"/>
    <w:rsid w:val="007B5DB1"/>
    <w:rsid w:val="007C2B8B"/>
    <w:rsid w:val="007C5172"/>
    <w:rsid w:val="007C7B05"/>
    <w:rsid w:val="007D2D76"/>
    <w:rsid w:val="007E2DD5"/>
    <w:rsid w:val="007E387F"/>
    <w:rsid w:val="007E4096"/>
    <w:rsid w:val="007E4C76"/>
    <w:rsid w:val="007E68E3"/>
    <w:rsid w:val="007E6EF7"/>
    <w:rsid w:val="007F367C"/>
    <w:rsid w:val="007F5165"/>
    <w:rsid w:val="00802D06"/>
    <w:rsid w:val="0080403D"/>
    <w:rsid w:val="00804642"/>
    <w:rsid w:val="008112E1"/>
    <w:rsid w:val="00811C33"/>
    <w:rsid w:val="008212F0"/>
    <w:rsid w:val="00821C7E"/>
    <w:rsid w:val="008275B6"/>
    <w:rsid w:val="008328C0"/>
    <w:rsid w:val="00835246"/>
    <w:rsid w:val="0083582E"/>
    <w:rsid w:val="00841CE5"/>
    <w:rsid w:val="00841E84"/>
    <w:rsid w:val="00847A61"/>
    <w:rsid w:val="008522B7"/>
    <w:rsid w:val="0085559D"/>
    <w:rsid w:val="008558D6"/>
    <w:rsid w:val="008561A4"/>
    <w:rsid w:val="00863730"/>
    <w:rsid w:val="00867983"/>
    <w:rsid w:val="00867F38"/>
    <w:rsid w:val="008709B5"/>
    <w:rsid w:val="008742A2"/>
    <w:rsid w:val="00874804"/>
    <w:rsid w:val="00874DD8"/>
    <w:rsid w:val="00881070"/>
    <w:rsid w:val="00882AA9"/>
    <w:rsid w:val="00886317"/>
    <w:rsid w:val="00890760"/>
    <w:rsid w:val="00897914"/>
    <w:rsid w:val="008A1BED"/>
    <w:rsid w:val="008A6332"/>
    <w:rsid w:val="008B3225"/>
    <w:rsid w:val="008C5DEB"/>
    <w:rsid w:val="008D0E73"/>
    <w:rsid w:val="008D2797"/>
    <w:rsid w:val="008D2F33"/>
    <w:rsid w:val="008D79D0"/>
    <w:rsid w:val="008E3691"/>
    <w:rsid w:val="008F0395"/>
    <w:rsid w:val="008F3FB2"/>
    <w:rsid w:val="008F70F9"/>
    <w:rsid w:val="0090022E"/>
    <w:rsid w:val="00901005"/>
    <w:rsid w:val="0090161E"/>
    <w:rsid w:val="00906960"/>
    <w:rsid w:val="00914DB7"/>
    <w:rsid w:val="00917EEF"/>
    <w:rsid w:val="009209F4"/>
    <w:rsid w:val="00920D13"/>
    <w:rsid w:val="009211F2"/>
    <w:rsid w:val="00927074"/>
    <w:rsid w:val="00934102"/>
    <w:rsid w:val="0093423D"/>
    <w:rsid w:val="00934362"/>
    <w:rsid w:val="009359A9"/>
    <w:rsid w:val="00937CAF"/>
    <w:rsid w:val="009430DE"/>
    <w:rsid w:val="009450CD"/>
    <w:rsid w:val="00947B67"/>
    <w:rsid w:val="009520DF"/>
    <w:rsid w:val="009536E1"/>
    <w:rsid w:val="009570BD"/>
    <w:rsid w:val="009654BE"/>
    <w:rsid w:val="00967681"/>
    <w:rsid w:val="009676D4"/>
    <w:rsid w:val="00970816"/>
    <w:rsid w:val="0097464D"/>
    <w:rsid w:val="00974DFE"/>
    <w:rsid w:val="009750D4"/>
    <w:rsid w:val="00982A16"/>
    <w:rsid w:val="009859EA"/>
    <w:rsid w:val="00986382"/>
    <w:rsid w:val="009900B3"/>
    <w:rsid w:val="009905DE"/>
    <w:rsid w:val="009958CF"/>
    <w:rsid w:val="0099762F"/>
    <w:rsid w:val="009A51C2"/>
    <w:rsid w:val="009A51DF"/>
    <w:rsid w:val="009A6244"/>
    <w:rsid w:val="009B27F5"/>
    <w:rsid w:val="009B4ECD"/>
    <w:rsid w:val="009B6E58"/>
    <w:rsid w:val="009B7FAF"/>
    <w:rsid w:val="009C08CC"/>
    <w:rsid w:val="009C2945"/>
    <w:rsid w:val="009C4FFD"/>
    <w:rsid w:val="009C6EAE"/>
    <w:rsid w:val="009D32C3"/>
    <w:rsid w:val="009E0F93"/>
    <w:rsid w:val="009E7640"/>
    <w:rsid w:val="009E7E77"/>
    <w:rsid w:val="009F137A"/>
    <w:rsid w:val="009F2A6D"/>
    <w:rsid w:val="009F3DBA"/>
    <w:rsid w:val="009F7CA4"/>
    <w:rsid w:val="00A017AA"/>
    <w:rsid w:val="00A06C2F"/>
    <w:rsid w:val="00A06E8B"/>
    <w:rsid w:val="00A109B8"/>
    <w:rsid w:val="00A1190D"/>
    <w:rsid w:val="00A1557D"/>
    <w:rsid w:val="00A15A56"/>
    <w:rsid w:val="00A1736B"/>
    <w:rsid w:val="00A2332F"/>
    <w:rsid w:val="00A25FCF"/>
    <w:rsid w:val="00A2684F"/>
    <w:rsid w:val="00A26CAA"/>
    <w:rsid w:val="00A34111"/>
    <w:rsid w:val="00A4388B"/>
    <w:rsid w:val="00A44170"/>
    <w:rsid w:val="00A45936"/>
    <w:rsid w:val="00A46398"/>
    <w:rsid w:val="00A47271"/>
    <w:rsid w:val="00A53E6E"/>
    <w:rsid w:val="00A606ED"/>
    <w:rsid w:val="00A65C36"/>
    <w:rsid w:val="00A713C0"/>
    <w:rsid w:val="00A72671"/>
    <w:rsid w:val="00A72C00"/>
    <w:rsid w:val="00A74F6E"/>
    <w:rsid w:val="00A76D3C"/>
    <w:rsid w:val="00A822D5"/>
    <w:rsid w:val="00A83697"/>
    <w:rsid w:val="00A84072"/>
    <w:rsid w:val="00A924DA"/>
    <w:rsid w:val="00A94F6B"/>
    <w:rsid w:val="00A979EC"/>
    <w:rsid w:val="00A97D46"/>
    <w:rsid w:val="00AA3606"/>
    <w:rsid w:val="00AB329C"/>
    <w:rsid w:val="00AB5B66"/>
    <w:rsid w:val="00AB64DC"/>
    <w:rsid w:val="00AC2D78"/>
    <w:rsid w:val="00AC5FB5"/>
    <w:rsid w:val="00AD2898"/>
    <w:rsid w:val="00AD2C34"/>
    <w:rsid w:val="00AD54D9"/>
    <w:rsid w:val="00AE1D30"/>
    <w:rsid w:val="00AE3541"/>
    <w:rsid w:val="00AE4828"/>
    <w:rsid w:val="00AE596D"/>
    <w:rsid w:val="00AF0274"/>
    <w:rsid w:val="00AF4A79"/>
    <w:rsid w:val="00B0002E"/>
    <w:rsid w:val="00B05E77"/>
    <w:rsid w:val="00B068D0"/>
    <w:rsid w:val="00B07DE3"/>
    <w:rsid w:val="00B102FA"/>
    <w:rsid w:val="00B10F7D"/>
    <w:rsid w:val="00B2170C"/>
    <w:rsid w:val="00B22189"/>
    <w:rsid w:val="00B23D81"/>
    <w:rsid w:val="00B30A53"/>
    <w:rsid w:val="00B30ADC"/>
    <w:rsid w:val="00B3257E"/>
    <w:rsid w:val="00B414E2"/>
    <w:rsid w:val="00B42CF1"/>
    <w:rsid w:val="00B43CC5"/>
    <w:rsid w:val="00B44AF5"/>
    <w:rsid w:val="00B54504"/>
    <w:rsid w:val="00B55614"/>
    <w:rsid w:val="00B55769"/>
    <w:rsid w:val="00B56432"/>
    <w:rsid w:val="00B60126"/>
    <w:rsid w:val="00B607CC"/>
    <w:rsid w:val="00B63640"/>
    <w:rsid w:val="00B63C01"/>
    <w:rsid w:val="00B6487D"/>
    <w:rsid w:val="00B65885"/>
    <w:rsid w:val="00B71FF4"/>
    <w:rsid w:val="00B74136"/>
    <w:rsid w:val="00B84A7E"/>
    <w:rsid w:val="00B85780"/>
    <w:rsid w:val="00B92594"/>
    <w:rsid w:val="00BA1E07"/>
    <w:rsid w:val="00BA21B0"/>
    <w:rsid w:val="00BA3339"/>
    <w:rsid w:val="00BA356A"/>
    <w:rsid w:val="00BA36ED"/>
    <w:rsid w:val="00BA3C6D"/>
    <w:rsid w:val="00BA53BE"/>
    <w:rsid w:val="00BC41B4"/>
    <w:rsid w:val="00BD0F2F"/>
    <w:rsid w:val="00BD589E"/>
    <w:rsid w:val="00BE0FC8"/>
    <w:rsid w:val="00BE5928"/>
    <w:rsid w:val="00BE59FF"/>
    <w:rsid w:val="00BE6CCF"/>
    <w:rsid w:val="00BF03D4"/>
    <w:rsid w:val="00BF58C3"/>
    <w:rsid w:val="00BF773F"/>
    <w:rsid w:val="00C060D0"/>
    <w:rsid w:val="00C06C05"/>
    <w:rsid w:val="00C14F51"/>
    <w:rsid w:val="00C15E5E"/>
    <w:rsid w:val="00C201D8"/>
    <w:rsid w:val="00C20AAA"/>
    <w:rsid w:val="00C21B98"/>
    <w:rsid w:val="00C23FF1"/>
    <w:rsid w:val="00C2632C"/>
    <w:rsid w:val="00C271D5"/>
    <w:rsid w:val="00C35EA7"/>
    <w:rsid w:val="00C37B02"/>
    <w:rsid w:val="00C37B1A"/>
    <w:rsid w:val="00C44B0E"/>
    <w:rsid w:val="00C46A99"/>
    <w:rsid w:val="00C50E25"/>
    <w:rsid w:val="00C54E21"/>
    <w:rsid w:val="00C65E7A"/>
    <w:rsid w:val="00C72347"/>
    <w:rsid w:val="00C7337B"/>
    <w:rsid w:val="00C76F7C"/>
    <w:rsid w:val="00CB6947"/>
    <w:rsid w:val="00CC2A17"/>
    <w:rsid w:val="00CC3FF2"/>
    <w:rsid w:val="00CC4E71"/>
    <w:rsid w:val="00CC4F87"/>
    <w:rsid w:val="00CD3157"/>
    <w:rsid w:val="00CD38E4"/>
    <w:rsid w:val="00CD578B"/>
    <w:rsid w:val="00CE611F"/>
    <w:rsid w:val="00CF133E"/>
    <w:rsid w:val="00CF14FB"/>
    <w:rsid w:val="00CF7A9B"/>
    <w:rsid w:val="00D019AE"/>
    <w:rsid w:val="00D0391B"/>
    <w:rsid w:val="00D10487"/>
    <w:rsid w:val="00D17EE5"/>
    <w:rsid w:val="00D2011F"/>
    <w:rsid w:val="00D203ED"/>
    <w:rsid w:val="00D21AA3"/>
    <w:rsid w:val="00D30EAA"/>
    <w:rsid w:val="00D3117C"/>
    <w:rsid w:val="00D354FC"/>
    <w:rsid w:val="00D377C8"/>
    <w:rsid w:val="00D37E07"/>
    <w:rsid w:val="00D43C06"/>
    <w:rsid w:val="00D43CE6"/>
    <w:rsid w:val="00D44D91"/>
    <w:rsid w:val="00D4540D"/>
    <w:rsid w:val="00D467CB"/>
    <w:rsid w:val="00D4740C"/>
    <w:rsid w:val="00D509A7"/>
    <w:rsid w:val="00D60DED"/>
    <w:rsid w:val="00D70DED"/>
    <w:rsid w:val="00D71C86"/>
    <w:rsid w:val="00D72D97"/>
    <w:rsid w:val="00D73D53"/>
    <w:rsid w:val="00D744E8"/>
    <w:rsid w:val="00D7631D"/>
    <w:rsid w:val="00D80CE1"/>
    <w:rsid w:val="00D869C9"/>
    <w:rsid w:val="00D86D27"/>
    <w:rsid w:val="00D8730F"/>
    <w:rsid w:val="00D877B1"/>
    <w:rsid w:val="00D90588"/>
    <w:rsid w:val="00D90BCE"/>
    <w:rsid w:val="00D944FA"/>
    <w:rsid w:val="00D951B4"/>
    <w:rsid w:val="00D96B3A"/>
    <w:rsid w:val="00D97E86"/>
    <w:rsid w:val="00DA0717"/>
    <w:rsid w:val="00DA23DD"/>
    <w:rsid w:val="00DB06E8"/>
    <w:rsid w:val="00DB14C7"/>
    <w:rsid w:val="00DB35D6"/>
    <w:rsid w:val="00DB6C58"/>
    <w:rsid w:val="00DC03EB"/>
    <w:rsid w:val="00DC316E"/>
    <w:rsid w:val="00DC3E58"/>
    <w:rsid w:val="00DC5A64"/>
    <w:rsid w:val="00DD4EA8"/>
    <w:rsid w:val="00DD6E22"/>
    <w:rsid w:val="00DD765C"/>
    <w:rsid w:val="00DF2D03"/>
    <w:rsid w:val="00DF66EB"/>
    <w:rsid w:val="00E00B23"/>
    <w:rsid w:val="00E01FDB"/>
    <w:rsid w:val="00E1328A"/>
    <w:rsid w:val="00E13CC8"/>
    <w:rsid w:val="00E13DEA"/>
    <w:rsid w:val="00E17F62"/>
    <w:rsid w:val="00E24E30"/>
    <w:rsid w:val="00E266CF"/>
    <w:rsid w:val="00E36B16"/>
    <w:rsid w:val="00E36CCA"/>
    <w:rsid w:val="00E37C87"/>
    <w:rsid w:val="00E41C46"/>
    <w:rsid w:val="00E42088"/>
    <w:rsid w:val="00E42217"/>
    <w:rsid w:val="00E447B7"/>
    <w:rsid w:val="00E54C83"/>
    <w:rsid w:val="00E562B7"/>
    <w:rsid w:val="00E56624"/>
    <w:rsid w:val="00E61C0F"/>
    <w:rsid w:val="00E7125D"/>
    <w:rsid w:val="00E73108"/>
    <w:rsid w:val="00E8039B"/>
    <w:rsid w:val="00E80533"/>
    <w:rsid w:val="00E812A8"/>
    <w:rsid w:val="00E826A9"/>
    <w:rsid w:val="00E8377F"/>
    <w:rsid w:val="00E84D52"/>
    <w:rsid w:val="00E9187E"/>
    <w:rsid w:val="00E91B6C"/>
    <w:rsid w:val="00E93571"/>
    <w:rsid w:val="00EA2052"/>
    <w:rsid w:val="00EA21A4"/>
    <w:rsid w:val="00EA6462"/>
    <w:rsid w:val="00EA7B1D"/>
    <w:rsid w:val="00EB3D04"/>
    <w:rsid w:val="00EB574C"/>
    <w:rsid w:val="00EB7464"/>
    <w:rsid w:val="00EB78EB"/>
    <w:rsid w:val="00EC3DB4"/>
    <w:rsid w:val="00EC7337"/>
    <w:rsid w:val="00ED1BCC"/>
    <w:rsid w:val="00EE2123"/>
    <w:rsid w:val="00EE67D7"/>
    <w:rsid w:val="00EF4563"/>
    <w:rsid w:val="00F024E7"/>
    <w:rsid w:val="00F06CE0"/>
    <w:rsid w:val="00F072BE"/>
    <w:rsid w:val="00F07DFF"/>
    <w:rsid w:val="00F117AE"/>
    <w:rsid w:val="00F126B6"/>
    <w:rsid w:val="00F2372A"/>
    <w:rsid w:val="00F24043"/>
    <w:rsid w:val="00F27F02"/>
    <w:rsid w:val="00F327AA"/>
    <w:rsid w:val="00F32EF1"/>
    <w:rsid w:val="00F33039"/>
    <w:rsid w:val="00F33231"/>
    <w:rsid w:val="00F45722"/>
    <w:rsid w:val="00F51C13"/>
    <w:rsid w:val="00F5591A"/>
    <w:rsid w:val="00F6234A"/>
    <w:rsid w:val="00F62CC4"/>
    <w:rsid w:val="00F6450A"/>
    <w:rsid w:val="00F7045F"/>
    <w:rsid w:val="00F70E44"/>
    <w:rsid w:val="00F82F08"/>
    <w:rsid w:val="00F83008"/>
    <w:rsid w:val="00F84287"/>
    <w:rsid w:val="00F85A1A"/>
    <w:rsid w:val="00F87300"/>
    <w:rsid w:val="00F91AFE"/>
    <w:rsid w:val="00F92A54"/>
    <w:rsid w:val="00F97D96"/>
    <w:rsid w:val="00FA2AE6"/>
    <w:rsid w:val="00FA2B4E"/>
    <w:rsid w:val="00FA3F50"/>
    <w:rsid w:val="00FA6969"/>
    <w:rsid w:val="00FA71CE"/>
    <w:rsid w:val="00FB283F"/>
    <w:rsid w:val="00FB73EE"/>
    <w:rsid w:val="00FC13A1"/>
    <w:rsid w:val="00FC13C2"/>
    <w:rsid w:val="00FC55FA"/>
    <w:rsid w:val="00FC73ED"/>
    <w:rsid w:val="00FD101A"/>
    <w:rsid w:val="00FE005A"/>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Izteiksmgs">
    <w:name w:val="Strong"/>
    <w:basedOn w:val="Noklusjumarindkopasfonts"/>
    <w:uiPriority w:val="22"/>
    <w:qFormat/>
    <w:rsid w:val="00CE611F"/>
    <w:rPr>
      <w:b/>
      <w:bCs/>
    </w:rPr>
  </w:style>
  <w:style w:type="character" w:styleId="Izclums">
    <w:name w:val="Emphasis"/>
    <w:basedOn w:val="Noklusjumarindkopasfonts"/>
    <w:uiPriority w:val="20"/>
    <w:qFormat/>
    <w:rsid w:val="00CE6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16227</Words>
  <Characters>9250</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154</cp:revision>
  <dcterms:created xsi:type="dcterms:W3CDTF">2023-05-11T05:27:00Z</dcterms:created>
  <dcterms:modified xsi:type="dcterms:W3CDTF">2023-05-11T08:27:00Z</dcterms:modified>
</cp:coreProperties>
</file>