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9466" w14:textId="58759A98" w:rsidR="008D79D0" w:rsidRPr="003D07A2" w:rsidRDefault="008D79D0" w:rsidP="00C06C05">
      <w:pPr>
        <w:spacing w:after="0"/>
        <w:ind w:left="284"/>
        <w:jc w:val="center"/>
        <w:rPr>
          <w:rFonts w:cstheme="minorHAnsi"/>
        </w:rPr>
      </w:pPr>
      <w:r w:rsidRPr="00211643">
        <w:rPr>
          <w:rFonts w:cstheme="minorHAnsi"/>
          <w:b/>
          <w:bCs/>
          <w:sz w:val="24"/>
          <w:szCs w:val="24"/>
        </w:rPr>
        <w:t>VSIA “Slimnīca “Ģintermuiža””</w:t>
      </w:r>
    </w:p>
    <w:p w14:paraId="6CD208D5" w14:textId="619DDA64" w:rsidR="008D79D0" w:rsidRPr="003D07A2" w:rsidRDefault="008D79D0" w:rsidP="008D79D0">
      <w:pPr>
        <w:spacing w:after="0"/>
        <w:jc w:val="center"/>
        <w:rPr>
          <w:rFonts w:cstheme="minorHAnsi"/>
          <w:b/>
          <w:bCs/>
        </w:rPr>
      </w:pPr>
    </w:p>
    <w:p w14:paraId="1640C813" w14:textId="77777777" w:rsidR="00C44B0E" w:rsidRDefault="00C44B0E" w:rsidP="008D79D0">
      <w:pPr>
        <w:spacing w:after="0"/>
        <w:jc w:val="center"/>
        <w:rPr>
          <w:rFonts w:cstheme="minorHAnsi"/>
          <w:b/>
          <w:bCs/>
        </w:rPr>
      </w:pPr>
    </w:p>
    <w:p w14:paraId="50A9D647" w14:textId="328E41F7" w:rsidR="008D79D0" w:rsidRPr="003D07A2" w:rsidRDefault="008D79D0" w:rsidP="008D79D0">
      <w:pPr>
        <w:spacing w:after="0"/>
        <w:jc w:val="center"/>
        <w:rPr>
          <w:rFonts w:cstheme="minorHAnsi"/>
          <w:b/>
          <w:bCs/>
        </w:rPr>
      </w:pPr>
      <w:r w:rsidRPr="003D07A2">
        <w:rPr>
          <w:rFonts w:cstheme="minorHAnsi"/>
          <w:b/>
          <w:bCs/>
        </w:rPr>
        <w:t>STARPPERIODU</w:t>
      </w:r>
      <w:r w:rsidR="00C06C05" w:rsidRPr="003D07A2">
        <w:rPr>
          <w:rFonts w:cstheme="minorHAnsi"/>
          <w:b/>
          <w:bCs/>
        </w:rPr>
        <w:t xml:space="preserve"> </w:t>
      </w:r>
      <w:r w:rsidRPr="003D07A2">
        <w:rPr>
          <w:rFonts w:cstheme="minorHAnsi"/>
          <w:b/>
          <w:bCs/>
        </w:rPr>
        <w:t>VADĪBAS</w:t>
      </w:r>
      <w:r w:rsidR="00C06C05" w:rsidRPr="003D07A2">
        <w:rPr>
          <w:rFonts w:cstheme="minorHAnsi"/>
          <w:b/>
          <w:bCs/>
        </w:rPr>
        <w:t xml:space="preserve"> </w:t>
      </w:r>
      <w:r w:rsidRPr="003D07A2">
        <w:rPr>
          <w:rFonts w:cstheme="minorHAnsi"/>
          <w:b/>
          <w:bCs/>
        </w:rPr>
        <w:t>ZIŅOJUMS</w:t>
      </w:r>
    </w:p>
    <w:p w14:paraId="1E8E4839" w14:textId="58ED36CE" w:rsidR="0018783C" w:rsidRDefault="008D79D0" w:rsidP="008D79D0">
      <w:pPr>
        <w:spacing w:after="0"/>
        <w:jc w:val="center"/>
        <w:rPr>
          <w:rFonts w:cstheme="minorHAnsi"/>
        </w:rPr>
      </w:pPr>
      <w:r w:rsidRPr="003D07A2">
        <w:rPr>
          <w:rFonts w:cstheme="minorHAnsi"/>
        </w:rPr>
        <w:t>par 202</w:t>
      </w:r>
      <w:r w:rsidR="00AE12F7">
        <w:rPr>
          <w:rFonts w:cstheme="minorHAnsi"/>
        </w:rPr>
        <w:t>6</w:t>
      </w:r>
      <w:r w:rsidRPr="003D07A2">
        <w:rPr>
          <w:rFonts w:cstheme="minorHAnsi"/>
        </w:rPr>
        <w:t xml:space="preserve">. </w:t>
      </w:r>
      <w:r w:rsidR="0073779C" w:rsidRPr="003D07A2">
        <w:rPr>
          <w:rFonts w:cstheme="minorHAnsi"/>
        </w:rPr>
        <w:t>gad</w:t>
      </w:r>
      <w:r w:rsidR="00B10F7D">
        <w:rPr>
          <w:rFonts w:cstheme="minorHAnsi"/>
        </w:rPr>
        <w:t>a 3 mēnešiem (01.01.-31.03.)</w:t>
      </w:r>
    </w:p>
    <w:p w14:paraId="3CCB921D" w14:textId="77777777" w:rsidR="00521F16" w:rsidRDefault="00521F16" w:rsidP="00C06C05">
      <w:pPr>
        <w:spacing w:before="100" w:beforeAutospacing="1" w:after="100" w:afterAutospacing="1"/>
        <w:jc w:val="both"/>
        <w:rPr>
          <w:rFonts w:cstheme="minorHAnsi"/>
        </w:rPr>
      </w:pPr>
    </w:p>
    <w:p w14:paraId="5B9B76B3" w14:textId="5CD39A19" w:rsidR="00867F38" w:rsidRPr="003D07A2" w:rsidRDefault="006D677B" w:rsidP="00C06C05">
      <w:pPr>
        <w:spacing w:before="100" w:beforeAutospacing="1" w:after="100" w:afterAutospacing="1"/>
        <w:jc w:val="both"/>
        <w:rPr>
          <w:rFonts w:cstheme="minorHAnsi"/>
        </w:rPr>
      </w:pPr>
      <w:r w:rsidRPr="003D07A2">
        <w:rPr>
          <w:rFonts w:cstheme="minorHAnsi"/>
        </w:rPr>
        <w:t>VSIA “Slimnīca “Ģintermuiža”” (tu</w:t>
      </w:r>
      <w:r w:rsidR="00F7045F" w:rsidRPr="003D07A2">
        <w:rPr>
          <w:rFonts w:cstheme="minorHAnsi"/>
        </w:rPr>
        <w:t>r</w:t>
      </w:r>
      <w:r w:rsidRPr="003D07A2">
        <w:rPr>
          <w:rFonts w:cstheme="minorHAnsi"/>
        </w:rPr>
        <w:t>pmāk – Slimnīca vai Sabiedrība) ir Latvijas Republikas Veselības ministrijas pārraudzībā esoša valsts kapitālsabiedrība.</w:t>
      </w:r>
    </w:p>
    <w:p w14:paraId="762597D3" w14:textId="28710F86" w:rsidR="006D677B" w:rsidRDefault="00135C75" w:rsidP="00C06C05">
      <w:pPr>
        <w:spacing w:before="100" w:beforeAutospacing="1" w:after="100" w:afterAutospacing="1"/>
        <w:jc w:val="both"/>
        <w:rPr>
          <w:rFonts w:cstheme="minorHAnsi"/>
        </w:rPr>
      </w:pPr>
      <w:r w:rsidRPr="00C5051F">
        <w:rPr>
          <w:rFonts w:cstheme="minorHAnsi"/>
        </w:rPr>
        <w:t>Saskaņā ar Latvijas Republikas Ministru kabineta 2004.gada 13.aprīļa noteikumu Nr.286 “</w:t>
      </w:r>
      <w:r w:rsidR="00F97D96" w:rsidRPr="00C5051F">
        <w:rPr>
          <w:rFonts w:cstheme="minorHAnsi"/>
        </w:rPr>
        <w:t>V</w:t>
      </w:r>
      <w:r w:rsidRPr="00C5051F">
        <w:rPr>
          <w:rFonts w:cstheme="minorHAnsi"/>
        </w:rPr>
        <w:t>eselības ministrijas nolikums”</w:t>
      </w:r>
      <w:r w:rsidR="00F97D96" w:rsidRPr="00C5051F">
        <w:rPr>
          <w:rFonts w:cstheme="minorHAnsi"/>
        </w:rPr>
        <w:t xml:space="preserve"> </w:t>
      </w:r>
      <w:r w:rsidRPr="00C5051F">
        <w:rPr>
          <w:rFonts w:cstheme="minorHAnsi"/>
        </w:rPr>
        <w:t>25.</w:t>
      </w:r>
      <w:r w:rsidR="00C5051F" w:rsidRPr="00C5051F">
        <w:rPr>
          <w:rFonts w:cstheme="minorHAnsi"/>
        </w:rPr>
        <w:t>5</w:t>
      </w:r>
      <w:r w:rsidRPr="00C5051F">
        <w:rPr>
          <w:rFonts w:cstheme="minorHAnsi"/>
        </w:rPr>
        <w:t>.punktu Veselības ministrija ir Sabiedrības valsts kapitāla daļu turētājs. Atbilstoši Publiskas personas kapitāla daļu un kapitālsabiedrību pārvaldības likuma 12.panta noteikumiem</w:t>
      </w:r>
      <w:r w:rsidR="00F97D96" w:rsidRPr="00C5051F">
        <w:rPr>
          <w:rFonts w:cstheme="minorHAnsi"/>
        </w:rPr>
        <w:t xml:space="preserve"> paredzētos kapitāla daļu turētāja pārstāvis ir Veselības ministrijas valsts </w:t>
      </w:r>
      <w:r w:rsidR="002C25FC" w:rsidRPr="00C5051F">
        <w:rPr>
          <w:rFonts w:cstheme="minorHAnsi"/>
        </w:rPr>
        <w:t>sekretārs</w:t>
      </w:r>
      <w:r w:rsidR="003F5E80" w:rsidRPr="00C5051F">
        <w:rPr>
          <w:rFonts w:cstheme="minorHAnsi"/>
        </w:rPr>
        <w:t>.</w:t>
      </w:r>
      <w:r w:rsidR="00C5051F" w:rsidRPr="00C5051F">
        <w:rPr>
          <w:rFonts w:cstheme="minorHAnsi"/>
        </w:rPr>
        <w:t xml:space="preserve"> Saskaņā ar likuma 24.</w:t>
      </w:r>
      <w:r w:rsidR="00C5051F" w:rsidRPr="00C5051F">
        <w:rPr>
          <w:rFonts w:cstheme="minorHAnsi"/>
          <w:vertAlign w:val="superscript"/>
        </w:rPr>
        <w:t>1.</w:t>
      </w:r>
      <w:r w:rsidR="00C5051F" w:rsidRPr="00C5051F">
        <w:rPr>
          <w:rFonts w:cstheme="minorHAnsi"/>
        </w:rPr>
        <w:t xml:space="preserve">punktu kapitālsabiedrība atkarībā no tās finansējuma avotiem ietilpst grupā </w:t>
      </w:r>
      <w:r w:rsidR="00C5051F">
        <w:rPr>
          <w:rFonts w:cstheme="minorHAnsi"/>
        </w:rPr>
        <w:t>“</w:t>
      </w:r>
      <w:r w:rsidR="00C5051F" w:rsidRPr="00C5051F">
        <w:rPr>
          <w:rFonts w:cstheme="minorHAnsi"/>
        </w:rPr>
        <w:t>no publiskas personas atkarīga nekomerciāla publiskas personas kapitālsabiedrība — vispārējās valdības sektorā iekļauta kapitālsabiedrība, kura primāri nodrošina nefinanšu mērķu īstenošanu un kurai valsts vai pašvaldības budžeta finansējums pēdējo triju gadu laikā pārsniedz 90 procentus no kapitālsabiedrības vidējā kopējā apgrozījuma šajā periodā</w:t>
      </w:r>
      <w:r w:rsidR="00C5051F">
        <w:rPr>
          <w:rFonts w:cstheme="minorHAnsi"/>
        </w:rPr>
        <w:t xml:space="preserve"> “.</w:t>
      </w:r>
    </w:p>
    <w:p w14:paraId="0191B5E2" w14:textId="77777777" w:rsidR="00247FE2" w:rsidRPr="004B3019" w:rsidRDefault="00247FE2" w:rsidP="00247FE2">
      <w:pPr>
        <w:spacing w:before="100" w:beforeAutospacing="1" w:after="100" w:afterAutospacing="1"/>
        <w:jc w:val="both"/>
        <w:rPr>
          <w:rFonts w:cstheme="minorHAnsi"/>
          <w:b/>
          <w:bCs/>
        </w:rPr>
      </w:pPr>
      <w:r>
        <w:rPr>
          <w:rFonts w:cstheme="minorHAnsi"/>
        </w:rPr>
        <w:t xml:space="preserve">Ar 2024.gada 18.jūnija Ministru kabineta rīkojumu Nr.497 “Par valsts līdzdalības saglabāšanu valsts sabiedrībā ar ierobežotu atbildību “Slimnīca “Ģintermuiža””  noteikts, ka valsts saglabā līdzdalību kapitālsabiedrībā un </w:t>
      </w:r>
      <w:r w:rsidRPr="004B3019">
        <w:rPr>
          <w:rFonts w:cstheme="minorHAnsi"/>
          <w:b/>
          <w:bCs/>
        </w:rPr>
        <w:t>vispārējais stratēģiskais mērķis ir saglabāt, uzlabot un atjaunot iedzīvotāju psihisko veselību, nodrošinot kvalitatīvu, efektīvu, uz pacientiem vērstu psihiatrijas un narkoloģijas pakalpojumu sniegšanu Zemgales un Kurzemes reģiona iedzīvotājiem, tai skaitā bērniem.</w:t>
      </w:r>
    </w:p>
    <w:p w14:paraId="1B3E81F3" w14:textId="33B3154A" w:rsidR="0035297D" w:rsidRPr="003D07A2" w:rsidRDefault="00E42217" w:rsidP="00C06C05">
      <w:pPr>
        <w:spacing w:before="100" w:beforeAutospacing="1" w:after="100" w:afterAutospacing="1"/>
        <w:jc w:val="both"/>
        <w:rPr>
          <w:rFonts w:cstheme="minorHAnsi"/>
        </w:rPr>
      </w:pPr>
      <w:r w:rsidRPr="003D07A2">
        <w:rPr>
          <w:rFonts w:cstheme="minorHAnsi"/>
        </w:rPr>
        <w:t xml:space="preserve">Saskaņā ar Sabiedrības Statūtiem </w:t>
      </w:r>
      <w:r w:rsidR="0035297D" w:rsidRPr="003D07A2">
        <w:rPr>
          <w:rFonts w:cstheme="minorHAnsi"/>
        </w:rPr>
        <w:t xml:space="preserve">Sabiedrības </w:t>
      </w:r>
      <w:r w:rsidRPr="003D07A2">
        <w:rPr>
          <w:rFonts w:cstheme="minorHAnsi"/>
        </w:rPr>
        <w:t>galvenie darbības veidi ir</w:t>
      </w:r>
      <w:r w:rsidR="00C06C05" w:rsidRPr="003D07A2">
        <w:rPr>
          <w:rFonts w:cstheme="minorHAnsi"/>
        </w:rPr>
        <w:t xml:space="preserve"> </w:t>
      </w:r>
      <w:r w:rsidR="0035297D" w:rsidRPr="003D07A2">
        <w:rPr>
          <w:rFonts w:cstheme="minorHAnsi"/>
        </w:rPr>
        <w:t>slimnīcu darbība (NACE klasifikācijas kods 86.10);</w:t>
      </w:r>
      <w:r w:rsidR="00C06C05" w:rsidRPr="003D07A2">
        <w:rPr>
          <w:rFonts w:cstheme="minorHAnsi"/>
        </w:rPr>
        <w:t xml:space="preserve"> </w:t>
      </w:r>
      <w:r w:rsidR="0035297D" w:rsidRPr="003D07A2">
        <w:rPr>
          <w:rFonts w:cstheme="minorHAnsi"/>
        </w:rPr>
        <w:t>Izglītība (85); Veselības aizsardzība (86); Ārstu un zobārstu prakse (86.2); Pētījumu un eksperimentālo izstrāžu veikšana dabas zinātnēs un inženierzinātnēs (72.10); Sociālā aprūpe ar izmitināšanu (87), Sociālā aprūpe bez izmitināšanas (88) u.c.</w:t>
      </w:r>
    </w:p>
    <w:p w14:paraId="480C0A57" w14:textId="78749364" w:rsidR="00E42217" w:rsidRDefault="00E42217" w:rsidP="00C06C05">
      <w:pPr>
        <w:spacing w:before="100" w:beforeAutospacing="1" w:after="100" w:afterAutospacing="1"/>
        <w:jc w:val="both"/>
        <w:rPr>
          <w:rFonts w:cstheme="minorHAnsi"/>
        </w:rPr>
      </w:pPr>
      <w:r w:rsidRPr="003D07A2">
        <w:rPr>
          <w:rFonts w:cstheme="minorHAnsi"/>
        </w:rPr>
        <w:t>Sabiedrības pārskata perioda valdes loceklis ir Artūrs B</w:t>
      </w:r>
      <w:r w:rsidR="00AE12F7">
        <w:rPr>
          <w:rFonts w:cstheme="minorHAnsi"/>
        </w:rPr>
        <w:t>lekte</w:t>
      </w:r>
      <w:r w:rsidRPr="003D07A2">
        <w:rPr>
          <w:rFonts w:cstheme="minorHAnsi"/>
        </w:rPr>
        <w:t>.</w:t>
      </w:r>
    </w:p>
    <w:p w14:paraId="7A37DAAC" w14:textId="77777777" w:rsidR="005C25E4" w:rsidRDefault="005C25E4" w:rsidP="005C25E4">
      <w:pPr>
        <w:spacing w:before="100" w:beforeAutospacing="1" w:after="100" w:afterAutospacing="1"/>
        <w:jc w:val="both"/>
        <w:rPr>
          <w:rFonts w:cstheme="minorHAnsi"/>
        </w:rPr>
      </w:pPr>
      <w:r>
        <w:rPr>
          <w:rFonts w:cstheme="minorHAnsi"/>
        </w:rPr>
        <w:t>Kapitālsabiedrība,</w:t>
      </w:r>
      <w:r w:rsidRPr="003D07A2">
        <w:rPr>
          <w:rFonts w:cstheme="minorHAnsi"/>
        </w:rPr>
        <w:t xml:space="preserve"> </w:t>
      </w:r>
      <w:r>
        <w:rPr>
          <w:rFonts w:cstheme="minorHAnsi"/>
        </w:rPr>
        <w:t>vērojot iepriekšējo gadu</w:t>
      </w:r>
      <w:r w:rsidRPr="003D07A2">
        <w:rPr>
          <w:rFonts w:cstheme="minorHAnsi"/>
        </w:rPr>
        <w:t xml:space="preserve"> pakalpojumu sniegšanas efektivitātes rādītāj</w:t>
      </w:r>
      <w:r>
        <w:rPr>
          <w:rFonts w:cstheme="minorHAnsi"/>
        </w:rPr>
        <w:t>us</w:t>
      </w:r>
      <w:r w:rsidRPr="003D07A2">
        <w:rPr>
          <w:rFonts w:cstheme="minorHAnsi"/>
        </w:rPr>
        <w:t xml:space="preserve"> un </w:t>
      </w:r>
      <w:r>
        <w:rPr>
          <w:rFonts w:cstheme="minorHAnsi"/>
        </w:rPr>
        <w:t>veicot sniegto</w:t>
      </w:r>
      <w:r w:rsidRPr="003D07A2">
        <w:rPr>
          <w:rFonts w:cstheme="minorHAnsi"/>
        </w:rPr>
        <w:t xml:space="preserve"> pakalpojuma uzskaites dokumentu analīz</w:t>
      </w:r>
      <w:r>
        <w:rPr>
          <w:rFonts w:cstheme="minorHAnsi"/>
        </w:rPr>
        <w:t>i</w:t>
      </w:r>
      <w:r w:rsidRPr="003D07A2">
        <w:rPr>
          <w:rFonts w:cstheme="minorHAnsi"/>
        </w:rPr>
        <w:t xml:space="preserve"> un kvalitātes kontrol</w:t>
      </w:r>
      <w:r>
        <w:rPr>
          <w:rFonts w:cstheme="minorHAnsi"/>
        </w:rPr>
        <w:t>i, 2026.gadam ir saglabājusi iepriekšējā gadā izvirzīto mērķi - turpināt attīstīt diennakts stacionārās veselības aprūpes pakalpojumus psihiatrijā un narkoloģijā,  piedāvājot pacientam individualizētu, mūsdienīgu, efektīvu un dzīves kvalitātes uzlabojošu kompleksu ārstniecības procesu, integrējot  medicīniskās rehabilitācijas pakalpojumos ES līdzfinansēto projektu īstenošanas rezultātā izveidotajā medicīniskās rehabilitācijas infrastruktūrā (</w:t>
      </w:r>
      <w:r w:rsidRPr="00D37E64">
        <w:rPr>
          <w:rFonts w:cstheme="minorHAnsi"/>
        </w:rPr>
        <w:t>Gerontopsihiatrijas pacientu medicīniskās rehabilitācijas telpu izveide</w:t>
      </w:r>
      <w:r>
        <w:rPr>
          <w:rFonts w:cstheme="minorHAnsi"/>
        </w:rPr>
        <w:t xml:space="preserve"> “Zaļā elpa”; </w:t>
      </w:r>
      <w:r w:rsidRPr="00450D13">
        <w:rPr>
          <w:rFonts w:cstheme="minorHAnsi"/>
        </w:rPr>
        <w:t xml:space="preserve">Psihiatriskās medicīniskās rehabilitācijas </w:t>
      </w:r>
      <w:r w:rsidRPr="00450D13">
        <w:rPr>
          <w:rFonts w:cstheme="minorHAnsi"/>
        </w:rPr>
        <w:lastRenderedPageBreak/>
        <w:t>mākslas terapijas (drāmas, mūzikas, vizuāli plastiskās mākslas terapijas) studijas izveide</w:t>
      </w:r>
      <w:r>
        <w:rPr>
          <w:rFonts w:cstheme="minorHAnsi"/>
        </w:rPr>
        <w:t xml:space="preserve">; </w:t>
      </w:r>
      <w:r w:rsidRPr="00450D13">
        <w:rPr>
          <w:rFonts w:cstheme="minorHAnsi"/>
        </w:rPr>
        <w:t>Psihiatriskās medicīniskās rehabilitācijas  (ergoterapijas) vides (Dārzkopības terapijas) izveide</w:t>
      </w:r>
      <w:r>
        <w:rPr>
          <w:rFonts w:cstheme="minorHAnsi"/>
        </w:rPr>
        <w:t>).</w:t>
      </w:r>
    </w:p>
    <w:p w14:paraId="4BCCF278" w14:textId="77777777" w:rsidR="005C25E4" w:rsidRDefault="005C25E4" w:rsidP="005C25E4">
      <w:pPr>
        <w:spacing w:before="100" w:beforeAutospacing="1" w:after="100" w:afterAutospacing="1"/>
        <w:jc w:val="both"/>
        <w:rPr>
          <w:rFonts w:cstheme="minorHAnsi"/>
        </w:rPr>
      </w:pPr>
      <w:r>
        <w:rPr>
          <w:rFonts w:cstheme="minorHAnsi"/>
        </w:rPr>
        <w:t>Rīcības virzieni:</w:t>
      </w:r>
    </w:p>
    <w:p w14:paraId="107EB459" w14:textId="77777777" w:rsidR="005C25E4" w:rsidRDefault="005C25E4" w:rsidP="005C25E4">
      <w:pPr>
        <w:pStyle w:val="Sarakstarindkopa"/>
        <w:numPr>
          <w:ilvl w:val="0"/>
          <w:numId w:val="10"/>
        </w:numPr>
        <w:shd w:val="clear" w:color="auto" w:fill="FFFFFF"/>
        <w:spacing w:before="100" w:beforeAutospacing="1" w:after="0" w:afterAutospacing="1" w:line="240" w:lineRule="auto"/>
        <w:contextualSpacing w:val="0"/>
        <w:jc w:val="both"/>
        <w:rPr>
          <w:rFonts w:cstheme="minorHAnsi"/>
          <w:lang w:eastAsia="lv-LV"/>
        </w:rPr>
      </w:pPr>
      <w:r>
        <w:rPr>
          <w:rFonts w:cstheme="minorHAnsi"/>
        </w:rPr>
        <w:t xml:space="preserve">Personāla piesaistes un noturēšanas valsts sektorā (īpaši ārstu) politikas sasaiste ar slimnīcā apstiprinātajām vadlīnijām par personāla sadalījumu </w:t>
      </w:r>
      <w:r>
        <w:rPr>
          <w:rFonts w:ascii="Calibri" w:hAnsi="Calibri" w:cs="Calibri"/>
          <w:lang w:eastAsia="lv-LV"/>
        </w:rPr>
        <w:t xml:space="preserve">nodaļās diennaktī atbilstoši nodaļas profilam- ārstu, māsu, māsu palīgu posteņu skaitam; kā arī </w:t>
      </w:r>
      <w:r>
        <w:rPr>
          <w:rFonts w:cstheme="minorHAnsi"/>
        </w:rPr>
        <w:t>motivācijas pasākumu un instrumentu saglabāšana un virsstundu darba monitorings.</w:t>
      </w:r>
    </w:p>
    <w:p w14:paraId="67D96A22" w14:textId="77777777" w:rsidR="005C25E4" w:rsidRDefault="005C25E4" w:rsidP="005C25E4">
      <w:pPr>
        <w:pStyle w:val="Sarakstarindkopa"/>
        <w:numPr>
          <w:ilvl w:val="0"/>
          <w:numId w:val="10"/>
        </w:numPr>
        <w:shd w:val="clear" w:color="auto" w:fill="FFFFFF"/>
        <w:spacing w:before="100" w:beforeAutospacing="1" w:after="0" w:afterAutospacing="1" w:line="240" w:lineRule="auto"/>
        <w:contextualSpacing w:val="0"/>
        <w:jc w:val="both"/>
        <w:rPr>
          <w:rFonts w:cstheme="minorHAnsi"/>
          <w:lang w:eastAsia="lv-LV"/>
        </w:rPr>
      </w:pPr>
      <w:r>
        <w:rPr>
          <w:rFonts w:cstheme="minorHAnsi"/>
          <w:lang w:eastAsia="lv-LV"/>
        </w:rPr>
        <w:t>Programmas “Narkomānu rehabilitācijas stacionārā bērniem” un “Obligātā narkoloģiskā palīdzība bērniem” attīstība, izstrādājot Norvēģijas finanšu instrumenta  pakalpojuma satura dizainēšanu projektā “Rehabilitācijas pakalpojumi bērniem ar atkarībām no apreibinošām vielām”.</w:t>
      </w:r>
    </w:p>
    <w:p w14:paraId="1AC99636" w14:textId="77777777" w:rsidR="005C25E4" w:rsidRDefault="005C25E4" w:rsidP="005C25E4">
      <w:pPr>
        <w:pStyle w:val="Sarakstarindkopa"/>
        <w:numPr>
          <w:ilvl w:val="0"/>
          <w:numId w:val="10"/>
        </w:numPr>
      </w:pPr>
      <w:r>
        <w:t>Pašnāvības riska prevencija pacientiem stacionārās un pēc stacionārās aprūpes posmā ar augstu pašnāvības risku</w:t>
      </w:r>
    </w:p>
    <w:p w14:paraId="429452C2" w14:textId="77777777" w:rsidR="005C25E4" w:rsidRPr="000F46B4" w:rsidRDefault="005C25E4" w:rsidP="005C25E4">
      <w:pPr>
        <w:pStyle w:val="Sarakstarindkopa"/>
        <w:shd w:val="clear" w:color="auto" w:fill="FFFFFF"/>
        <w:spacing w:before="100" w:beforeAutospacing="1" w:after="0" w:afterAutospacing="1" w:line="240" w:lineRule="auto"/>
        <w:contextualSpacing w:val="0"/>
        <w:jc w:val="both"/>
        <w:rPr>
          <w:rFonts w:cstheme="minorHAnsi"/>
          <w:lang w:eastAsia="lv-LV"/>
        </w:rPr>
      </w:pPr>
    </w:p>
    <w:p w14:paraId="4F37BEB5" w14:textId="77777777" w:rsidR="005C25E4" w:rsidRPr="00E145B6" w:rsidRDefault="005C25E4" w:rsidP="005C25E4">
      <w:pPr>
        <w:spacing w:after="0"/>
        <w:jc w:val="both"/>
        <w:rPr>
          <w:rFonts w:cstheme="minorHAnsi"/>
        </w:rPr>
      </w:pPr>
      <w:r w:rsidRPr="00E145B6">
        <w:rPr>
          <w:rFonts w:cstheme="minorHAnsi"/>
        </w:rPr>
        <w:t>Medicīniskās rehabilitācijas nodaļas mērķi 2026. gadam</w:t>
      </w:r>
    </w:p>
    <w:p w14:paraId="289C049D" w14:textId="77777777" w:rsidR="005C25E4" w:rsidRPr="00E145B6" w:rsidRDefault="005C25E4" w:rsidP="005C25E4">
      <w:pPr>
        <w:numPr>
          <w:ilvl w:val="0"/>
          <w:numId w:val="20"/>
        </w:numPr>
        <w:spacing w:after="0"/>
        <w:jc w:val="both"/>
        <w:rPr>
          <w:rFonts w:cstheme="minorHAnsi"/>
        </w:rPr>
      </w:pPr>
      <w:r w:rsidRPr="00E145B6">
        <w:rPr>
          <w:rFonts w:cstheme="minorHAnsi"/>
        </w:rPr>
        <w:t>Palielināt ergoterapijas pakalpojumu pieejamību bērniem un Gerontopsihiatrijas nodaļas pacientiem.</w:t>
      </w:r>
    </w:p>
    <w:p w14:paraId="0469D33B" w14:textId="77777777" w:rsidR="005C25E4" w:rsidRPr="00E145B6" w:rsidRDefault="005C25E4" w:rsidP="005C25E4">
      <w:pPr>
        <w:numPr>
          <w:ilvl w:val="0"/>
          <w:numId w:val="20"/>
        </w:numPr>
        <w:spacing w:after="0"/>
        <w:jc w:val="both"/>
        <w:rPr>
          <w:rFonts w:cstheme="minorHAnsi"/>
        </w:rPr>
      </w:pPr>
      <w:r w:rsidRPr="00E145B6">
        <w:rPr>
          <w:rFonts w:cstheme="minorHAnsi"/>
        </w:rPr>
        <w:t>Pilnveidot un ieviest vienkāršota formāta papildus terapijas materiālus akūto nodaļu pacientiem, nodrošinot viegli uztveramu informāciju, atbilstoši pacientu funkcionālajam stāvoklim.</w:t>
      </w:r>
    </w:p>
    <w:p w14:paraId="6AD929E4" w14:textId="77777777" w:rsidR="005C25E4" w:rsidRPr="00E145B6" w:rsidRDefault="005C25E4" w:rsidP="005C25E4">
      <w:pPr>
        <w:numPr>
          <w:ilvl w:val="0"/>
          <w:numId w:val="20"/>
        </w:numPr>
        <w:spacing w:after="0"/>
        <w:jc w:val="both"/>
        <w:rPr>
          <w:rFonts w:cstheme="minorHAnsi"/>
        </w:rPr>
      </w:pPr>
      <w:r w:rsidRPr="00E145B6">
        <w:rPr>
          <w:rFonts w:cstheme="minorHAnsi"/>
        </w:rPr>
        <w:t>Modernizēt rehabilitācijas procesu, integrējot darbā jaunas medicīniskās tehnoloģijas un nodrošinot to pilnvērtīgu izmantošanu ikdienas terapijā.</w:t>
      </w:r>
    </w:p>
    <w:p w14:paraId="1D2568E6" w14:textId="77777777" w:rsidR="00247FE2" w:rsidRPr="00F37A90" w:rsidRDefault="00247FE2" w:rsidP="00247FE2">
      <w:pPr>
        <w:spacing w:before="100" w:beforeAutospacing="1" w:after="100" w:afterAutospacing="1"/>
        <w:jc w:val="both"/>
        <w:rPr>
          <w:rFonts w:cstheme="minorHAnsi"/>
        </w:rPr>
      </w:pPr>
      <w:r w:rsidRPr="00F37A90">
        <w:rPr>
          <w:rFonts w:cstheme="minorHAnsi"/>
        </w:rPr>
        <w:t xml:space="preserve"> Kapitālsabiedrība turpina atjaunīgās enerģijas ražošanu saules paneļu elektrostacijā, tā samazinot nepieciešamās elektroenerģijas iepirkumu, veicinot neatkarību no energoresursu tirgus </w:t>
      </w:r>
      <w:r>
        <w:rPr>
          <w:rFonts w:cstheme="minorHAnsi"/>
        </w:rPr>
        <w:t xml:space="preserve">mainīgā </w:t>
      </w:r>
      <w:r w:rsidRPr="00F37A90">
        <w:rPr>
          <w:rFonts w:cstheme="minorHAnsi"/>
        </w:rPr>
        <w:t xml:space="preserve">piedāvājuma. </w:t>
      </w:r>
    </w:p>
    <w:p w14:paraId="7B1A6442" w14:textId="4F5A25C4" w:rsidR="004A22D7" w:rsidRDefault="004A22D7" w:rsidP="004A22D7">
      <w:pPr>
        <w:pStyle w:val="Pamatteksts3"/>
        <w:tabs>
          <w:tab w:val="left" w:pos="2304"/>
        </w:tabs>
        <w:rPr>
          <w:rFonts w:asciiTheme="minorHAnsi" w:hAnsiTheme="minorHAnsi" w:cstheme="minorHAnsi"/>
          <w:b w:val="0"/>
          <w:bCs/>
          <w:i w:val="0"/>
          <w:iCs/>
          <w:sz w:val="22"/>
          <w:szCs w:val="22"/>
        </w:rPr>
      </w:pPr>
      <w:r w:rsidRPr="00DC5679">
        <w:rPr>
          <w:rFonts w:asciiTheme="minorHAnsi" w:hAnsiTheme="minorHAnsi" w:cstheme="minorHAnsi"/>
          <w:b w:val="0"/>
          <w:bCs/>
          <w:i w:val="0"/>
          <w:iCs/>
          <w:sz w:val="22"/>
          <w:szCs w:val="22"/>
        </w:rPr>
        <w:t>202</w:t>
      </w:r>
      <w:r>
        <w:rPr>
          <w:rFonts w:asciiTheme="minorHAnsi" w:hAnsiTheme="minorHAnsi" w:cstheme="minorHAnsi"/>
          <w:b w:val="0"/>
          <w:bCs/>
          <w:i w:val="0"/>
          <w:iCs/>
          <w:sz w:val="22"/>
          <w:szCs w:val="22"/>
        </w:rPr>
        <w:t>6</w:t>
      </w:r>
      <w:r w:rsidRPr="00DC5679">
        <w:rPr>
          <w:rFonts w:asciiTheme="minorHAnsi" w:hAnsiTheme="minorHAnsi" w:cstheme="minorHAnsi"/>
          <w:b w:val="0"/>
          <w:bCs/>
          <w:i w:val="0"/>
          <w:iCs/>
          <w:sz w:val="22"/>
          <w:szCs w:val="22"/>
        </w:rPr>
        <w:t xml:space="preserve">.gada </w:t>
      </w:r>
      <w:r>
        <w:rPr>
          <w:rFonts w:asciiTheme="minorHAnsi" w:hAnsiTheme="minorHAnsi" w:cstheme="minorHAnsi"/>
          <w:b w:val="0"/>
          <w:bCs/>
          <w:i w:val="0"/>
          <w:iCs/>
          <w:sz w:val="22"/>
          <w:szCs w:val="22"/>
        </w:rPr>
        <w:t>pārskat</w:t>
      </w:r>
      <w:r w:rsidR="00E753FD">
        <w:rPr>
          <w:rFonts w:asciiTheme="minorHAnsi" w:hAnsiTheme="minorHAnsi" w:cstheme="minorHAnsi"/>
          <w:b w:val="0"/>
          <w:bCs/>
          <w:i w:val="0"/>
          <w:iCs/>
          <w:sz w:val="22"/>
          <w:szCs w:val="22"/>
        </w:rPr>
        <w:t>a</w:t>
      </w:r>
      <w:r>
        <w:rPr>
          <w:rFonts w:asciiTheme="minorHAnsi" w:hAnsiTheme="minorHAnsi" w:cstheme="minorHAnsi"/>
          <w:b w:val="0"/>
          <w:bCs/>
          <w:i w:val="0"/>
          <w:iCs/>
          <w:sz w:val="22"/>
          <w:szCs w:val="22"/>
        </w:rPr>
        <w:t xml:space="preserve"> periodā</w:t>
      </w:r>
      <w:r w:rsidR="0008337F">
        <w:rPr>
          <w:rFonts w:asciiTheme="minorHAnsi" w:hAnsiTheme="minorHAnsi" w:cstheme="minorHAnsi"/>
          <w:b w:val="0"/>
          <w:bCs/>
          <w:i w:val="0"/>
          <w:iCs/>
          <w:sz w:val="22"/>
          <w:szCs w:val="22"/>
        </w:rPr>
        <w:t xml:space="preserve"> veic</w:t>
      </w:r>
      <w:r>
        <w:rPr>
          <w:rFonts w:asciiTheme="minorHAnsi" w:hAnsiTheme="minorHAnsi" w:cstheme="minorHAnsi"/>
          <w:b w:val="0"/>
          <w:bCs/>
          <w:i w:val="0"/>
          <w:iCs/>
          <w:sz w:val="22"/>
          <w:szCs w:val="22"/>
        </w:rPr>
        <w:t xml:space="preserve"> vairāku ES līdzfinansētu projektu īstenošanu:</w:t>
      </w:r>
    </w:p>
    <w:p w14:paraId="3E8528AB" w14:textId="77777777" w:rsidR="004A22D7" w:rsidRDefault="004A22D7" w:rsidP="004A22D7">
      <w:pPr>
        <w:pStyle w:val="Pamatteksts3"/>
        <w:numPr>
          <w:ilvl w:val="0"/>
          <w:numId w:val="21"/>
        </w:numPr>
        <w:tabs>
          <w:tab w:val="left" w:pos="2304"/>
        </w:tabs>
        <w:rPr>
          <w:rFonts w:asciiTheme="minorHAnsi" w:hAnsiTheme="minorHAnsi" w:cstheme="minorHAnsi"/>
          <w:b w:val="0"/>
          <w:bCs/>
          <w:i w:val="0"/>
          <w:iCs/>
          <w:color w:val="000000"/>
          <w:sz w:val="22"/>
          <w:szCs w:val="22"/>
        </w:rPr>
      </w:pPr>
      <w:r w:rsidRPr="00DC5679">
        <w:rPr>
          <w:rFonts w:asciiTheme="minorHAnsi" w:hAnsiTheme="minorHAnsi" w:cstheme="minorHAnsi"/>
          <w:b w:val="0"/>
          <w:bCs/>
          <w:i w:val="0"/>
          <w:iCs/>
          <w:color w:val="000000"/>
          <w:sz w:val="22"/>
          <w:szCs w:val="22"/>
        </w:rPr>
        <w:t>Eiropas Savienības kohēzijas politikas programmas 2021.–2027. gadam 4.1.1. specifiskā atbalsta mērķa “</w:t>
      </w:r>
      <w:r w:rsidRPr="00DC5679">
        <w:rPr>
          <w:rFonts w:asciiTheme="minorHAnsi" w:hAnsiTheme="minorHAnsi" w:cstheme="minorHAnsi"/>
          <w:b w:val="0"/>
          <w:bCs/>
          <w:i w:val="0"/>
          <w:iCs/>
          <w:sz w:val="22"/>
          <w:szCs w:val="22"/>
        </w:rPr>
        <w:t>Nodrošināt vienlīdzīgu piekļuvi veselības aprūpei un stiprināt veselības sistēmu, tostarp primārās veselības aprūpes noturību</w:t>
      </w:r>
      <w:r w:rsidRPr="00DC5679">
        <w:rPr>
          <w:rFonts w:asciiTheme="minorHAnsi" w:hAnsiTheme="minorHAnsi" w:cstheme="minorHAnsi"/>
          <w:b w:val="0"/>
          <w:bCs/>
          <w:i w:val="0"/>
          <w:iCs/>
          <w:color w:val="000000"/>
          <w:sz w:val="22"/>
          <w:szCs w:val="22"/>
        </w:rPr>
        <w:t>” 4.1.1.1. pasākuma “</w:t>
      </w:r>
      <w:r w:rsidRPr="00DC5679">
        <w:rPr>
          <w:rFonts w:asciiTheme="minorHAnsi" w:hAnsiTheme="minorHAnsi" w:cstheme="minorHAnsi"/>
          <w:b w:val="0"/>
          <w:bCs/>
          <w:i w:val="0"/>
          <w:iCs/>
          <w:sz w:val="22"/>
          <w:szCs w:val="22"/>
        </w:rPr>
        <w:t>Ārstniecības iestāžu infrastruktūras attīstība</w:t>
      </w:r>
      <w:r w:rsidRPr="00DC5679">
        <w:rPr>
          <w:rFonts w:asciiTheme="minorHAnsi" w:hAnsiTheme="minorHAnsi" w:cstheme="minorHAnsi"/>
          <w:b w:val="0"/>
          <w:bCs/>
          <w:i w:val="0"/>
          <w:iCs/>
          <w:color w:val="000000"/>
          <w:sz w:val="22"/>
          <w:szCs w:val="22"/>
        </w:rPr>
        <w:t>” projekt</w:t>
      </w:r>
      <w:r>
        <w:rPr>
          <w:rFonts w:asciiTheme="minorHAnsi" w:hAnsiTheme="minorHAnsi" w:cstheme="minorHAnsi"/>
          <w:b w:val="0"/>
          <w:bCs/>
          <w:i w:val="0"/>
          <w:iCs/>
          <w:color w:val="000000"/>
          <w:sz w:val="22"/>
          <w:szCs w:val="22"/>
        </w:rPr>
        <w:t>a</w:t>
      </w:r>
      <w:r w:rsidRPr="00DC5679">
        <w:rPr>
          <w:rFonts w:asciiTheme="minorHAnsi" w:hAnsiTheme="minorHAnsi" w:cstheme="minorHAnsi"/>
          <w:b w:val="0"/>
          <w:bCs/>
          <w:i w:val="0"/>
          <w:iCs/>
          <w:color w:val="000000"/>
          <w:sz w:val="22"/>
          <w:szCs w:val="22"/>
        </w:rPr>
        <w:t xml:space="preserve">  “Psihiskās veselības iestāžu infrastruktūras attīstība” (projekta Nr.4.1.1.1/3./24/I/001)</w:t>
      </w:r>
      <w:r>
        <w:rPr>
          <w:rFonts w:asciiTheme="minorHAnsi" w:hAnsiTheme="minorHAnsi" w:cstheme="minorHAnsi"/>
          <w:b w:val="0"/>
          <w:bCs/>
          <w:i w:val="0"/>
          <w:iCs/>
          <w:color w:val="000000"/>
          <w:sz w:val="22"/>
          <w:szCs w:val="22"/>
        </w:rPr>
        <w:t>, termiņš līdz 31.12.2026. ;</w:t>
      </w:r>
    </w:p>
    <w:p w14:paraId="15760928" w14:textId="77777777" w:rsidR="004A22D7" w:rsidRPr="00F73E06" w:rsidRDefault="004A22D7" w:rsidP="004A22D7">
      <w:pPr>
        <w:pStyle w:val="Sarakstarindkopa"/>
        <w:numPr>
          <w:ilvl w:val="0"/>
          <w:numId w:val="21"/>
        </w:numPr>
        <w:jc w:val="both"/>
      </w:pPr>
      <w:r w:rsidRPr="00365305">
        <w:t>Eiropas Savienības kohēzijas politikas programmas 2021.–2027.gadam 5.1.1.specifiskā atbalsta mērķa "Vietējās teritorijas integrētās sociālās, ekonomiskās un vides attīstības un kultūras mantojuma, tūrisma un drošības veicināšana pilsētu funkcionālajās teritorijās" 5.1.1.9.pasākuma "Objektu (patvertņu) pielāgošana un aprīkošana civilās aizsardzības mērķiem"</w:t>
      </w:r>
      <w:r>
        <w:t>, p</w:t>
      </w:r>
      <w:r w:rsidRPr="00365305">
        <w:t>rojekts “Telpu pielāgošana un aprīkošana III kategorijas patvertnes ierīkošanai”</w:t>
      </w:r>
      <w:r>
        <w:t xml:space="preserve"> </w:t>
      </w:r>
      <w:r w:rsidRPr="00F73E06">
        <w:t>(projekta Nr. 5.2.1.1/1/25/I/003), termiņš līdz 30.06.2026.;</w:t>
      </w:r>
    </w:p>
    <w:p w14:paraId="6C49FF9F" w14:textId="77777777" w:rsidR="004A22D7" w:rsidRPr="00F6304F" w:rsidRDefault="004A22D7" w:rsidP="004A22D7">
      <w:pPr>
        <w:jc w:val="both"/>
        <w:rPr>
          <w:b/>
          <w:bCs/>
        </w:rPr>
      </w:pPr>
    </w:p>
    <w:p w14:paraId="08BFF928" w14:textId="5067BEA6" w:rsidR="0008337F" w:rsidRDefault="004A22D7" w:rsidP="0008337F">
      <w:pPr>
        <w:spacing w:before="100" w:beforeAutospacing="1" w:after="100" w:afterAutospacing="1"/>
        <w:jc w:val="both"/>
        <w:rPr>
          <w:rFonts w:ascii="Calibri" w:hAnsi="Calibri" w:cs="Calibri"/>
          <w:lang w:eastAsia="lv-LV"/>
        </w:rPr>
      </w:pPr>
      <w:r w:rsidRPr="00D57F2D">
        <w:rPr>
          <w:rFonts w:ascii="Calibri" w:hAnsi="Calibri" w:cs="Calibri"/>
          <w:lang w:eastAsia="lv-LV"/>
        </w:rPr>
        <w:lastRenderedPageBreak/>
        <w:t xml:space="preserve">2025.gada 27.janvārī kapitālsabiedrība noslēdza līgumu ar Nacionālo psihiskās veselības centru </w:t>
      </w:r>
      <w:r w:rsidR="00E753FD">
        <w:rPr>
          <w:rFonts w:ascii="Calibri" w:hAnsi="Calibri" w:cs="Calibri"/>
          <w:lang w:eastAsia="lv-LV"/>
        </w:rPr>
        <w:t>V</w:t>
      </w:r>
      <w:r w:rsidRPr="00D57F2D">
        <w:rPr>
          <w:rFonts w:ascii="Calibri" w:hAnsi="Calibri" w:cs="Calibri"/>
          <w:lang w:eastAsia="lv-LV"/>
        </w:rPr>
        <w:t xml:space="preserve">SIA par pilotprojekta “Triažēšanas sistēmas (PsyLo) ieviešana ambulatoro pakalpojumu prioritizēšanas nodrošināšanā cilvēkiem ar psihiskām sūdzībām” īstenošanu līdz 2026.gada 31.martam. </w:t>
      </w:r>
    </w:p>
    <w:p w14:paraId="3391F4AB" w14:textId="36D79D72" w:rsidR="008D79D0" w:rsidRPr="003D07A2" w:rsidRDefault="008D79D0" w:rsidP="0008337F">
      <w:pPr>
        <w:spacing w:before="100" w:beforeAutospacing="1" w:after="100" w:afterAutospacing="1"/>
        <w:jc w:val="both"/>
        <w:rPr>
          <w:rFonts w:cstheme="minorHAnsi"/>
          <w:b/>
          <w:bCs/>
        </w:rPr>
      </w:pPr>
      <w:r w:rsidRPr="003D07A2">
        <w:rPr>
          <w:rFonts w:cstheme="minorHAnsi"/>
          <w:b/>
          <w:bCs/>
        </w:rPr>
        <w:t>Pārskata perioda Sabiedrības darbības apraksts</w:t>
      </w:r>
    </w:p>
    <w:p w14:paraId="1FDD3239" w14:textId="77777777" w:rsidR="00AF0274" w:rsidRPr="003D07A2" w:rsidRDefault="00AF0274" w:rsidP="00B607CC">
      <w:pPr>
        <w:spacing w:before="100" w:beforeAutospacing="1" w:after="100" w:afterAutospacing="1"/>
        <w:jc w:val="both"/>
        <w:rPr>
          <w:rFonts w:cstheme="minorHAnsi"/>
        </w:rPr>
      </w:pPr>
      <w:r w:rsidRPr="003D07A2">
        <w:rPr>
          <w:rFonts w:cstheme="minorHAnsi"/>
        </w:rPr>
        <w:t>Pārskata periodā sabiedrība sniedz sekojošus pakalpojumus:</w:t>
      </w:r>
    </w:p>
    <w:p w14:paraId="03DC80C3" w14:textId="77777777" w:rsidR="009C2945" w:rsidRPr="003D07A2" w:rsidRDefault="009C2945" w:rsidP="009C2945">
      <w:pPr>
        <w:pStyle w:val="apakvsirsraksts2"/>
        <w:keepLines/>
        <w:numPr>
          <w:ilvl w:val="0"/>
          <w:numId w:val="1"/>
        </w:numPr>
        <w:spacing w:after="0"/>
        <w:jc w:val="both"/>
        <w:rPr>
          <w:rFonts w:cstheme="minorHAnsi"/>
          <w:b w:val="0"/>
          <w:u w:val="none"/>
        </w:rPr>
      </w:pPr>
      <w:r w:rsidRPr="003D07A2">
        <w:rPr>
          <w:rFonts w:cstheme="minorHAnsi"/>
          <w:b w:val="0"/>
          <w:u w:val="none"/>
        </w:rPr>
        <w:t>Stacionārie veselības aprūpes pakalpojumi:</w:t>
      </w:r>
    </w:p>
    <w:p w14:paraId="3D447A54" w14:textId="29A823A1"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Psihiatriskā palīdzība pieaugušajiem un bērniem</w:t>
      </w:r>
      <w:r w:rsidR="0044559F">
        <w:rPr>
          <w:rFonts w:cstheme="minorHAnsi"/>
          <w:b w:val="0"/>
          <w:u w:val="none"/>
        </w:rPr>
        <w:t>, tai skaitā psihiatriskā medicīniskā rehabilitācija</w:t>
      </w:r>
    </w:p>
    <w:p w14:paraId="0715B8EB"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Narkoloģija</w:t>
      </w:r>
    </w:p>
    <w:p w14:paraId="6763BF06"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Obligātā narkoloģiskā palīdzība bērniem pēc bāriņtiesas lēmuma</w:t>
      </w:r>
    </w:p>
    <w:p w14:paraId="78A43719"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Narkomānu rehabilitācija stacionārā pieaugušajiem un bērniem</w:t>
      </w:r>
    </w:p>
    <w:p w14:paraId="4EE2A5D4" w14:textId="78447BC4" w:rsidR="009C2945"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Minesotas programma stacionārā</w:t>
      </w:r>
    </w:p>
    <w:p w14:paraId="680097A5" w14:textId="77777777" w:rsidR="009C2945" w:rsidRPr="003D07A2" w:rsidRDefault="009C2945" w:rsidP="009C2945">
      <w:pPr>
        <w:pStyle w:val="apakvsirsraksts2"/>
        <w:keepLines/>
        <w:numPr>
          <w:ilvl w:val="0"/>
          <w:numId w:val="1"/>
        </w:numPr>
        <w:spacing w:after="0"/>
        <w:jc w:val="both"/>
        <w:rPr>
          <w:rFonts w:cstheme="minorHAnsi"/>
          <w:b w:val="0"/>
          <w:u w:val="none"/>
        </w:rPr>
      </w:pPr>
      <w:r w:rsidRPr="003D07A2">
        <w:rPr>
          <w:rFonts w:cstheme="minorHAnsi"/>
          <w:b w:val="0"/>
          <w:u w:val="none"/>
        </w:rPr>
        <w:t>Sekundārās ambulatorās veselības aprūpes pakalpojumi:</w:t>
      </w:r>
    </w:p>
    <w:p w14:paraId="79C688C7"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Neiroelektrofizioloģiskie funkcionālie izmeklējumi</w:t>
      </w:r>
    </w:p>
    <w:p w14:paraId="507A3374"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Psihiatrijas slimnieku ārstēšana psihiatriskā profila dienas stacionārā pieaugušajiem un bērniem</w:t>
      </w:r>
    </w:p>
    <w:p w14:paraId="7B14B809"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Metadona aizvietojošās terapijas kabineta pakalpojumi</w:t>
      </w:r>
    </w:p>
    <w:p w14:paraId="64E53BBC"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Psihologa (Metadona aizvietojošās programmas ietvaros) pakalpojumi</w:t>
      </w:r>
    </w:p>
    <w:p w14:paraId="49318EE9"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Speciālistu pakalpojumi psihiatrijā un narkoloģijā</w:t>
      </w:r>
    </w:p>
    <w:p w14:paraId="0D4464E7" w14:textId="77777777" w:rsidR="009C2945"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Tiesu psihiatriskā un psiholoģiskā ekspertīze</w:t>
      </w:r>
    </w:p>
    <w:p w14:paraId="073EAB11" w14:textId="47FBBB60" w:rsidR="00E00B23" w:rsidRDefault="00072B5D" w:rsidP="00B607CC">
      <w:pPr>
        <w:pStyle w:val="apakvsirsraksts2"/>
        <w:keepLines/>
        <w:numPr>
          <w:ilvl w:val="1"/>
          <w:numId w:val="1"/>
        </w:numPr>
        <w:spacing w:after="0"/>
        <w:jc w:val="both"/>
        <w:rPr>
          <w:rFonts w:cstheme="minorHAnsi"/>
          <w:b w:val="0"/>
          <w:bCs/>
          <w:u w:val="none"/>
        </w:rPr>
      </w:pPr>
      <w:r>
        <w:rPr>
          <w:rFonts w:eastAsia="Calibri" w:cstheme="minorHAnsi"/>
          <w:b w:val="0"/>
          <w:bCs/>
          <w:u w:val="none"/>
        </w:rPr>
        <w:t>A</w:t>
      </w:r>
      <w:r w:rsidRPr="00072B5D">
        <w:rPr>
          <w:rFonts w:eastAsia="Calibri" w:cstheme="minorHAnsi"/>
          <w:b w:val="0"/>
          <w:bCs/>
          <w:u w:val="none"/>
        </w:rPr>
        <w:t>utiska spektra traucējumu psiholoģiskās diagnostikas pakalpojums (ADOS tests) bērniem līdz 18 gadu vecumam</w:t>
      </w:r>
      <w:r w:rsidR="00E00B23" w:rsidRPr="00072B5D">
        <w:rPr>
          <w:rFonts w:cstheme="minorHAnsi"/>
          <w:b w:val="0"/>
          <w:bCs/>
          <w:u w:val="none"/>
        </w:rPr>
        <w:t xml:space="preserve"> </w:t>
      </w:r>
    </w:p>
    <w:p w14:paraId="3E6BEB59" w14:textId="3D23EB0C" w:rsidR="00D62AA4" w:rsidRPr="00072B5D" w:rsidRDefault="00D62AA4" w:rsidP="00B607CC">
      <w:pPr>
        <w:pStyle w:val="apakvsirsraksts2"/>
        <w:keepLines/>
        <w:numPr>
          <w:ilvl w:val="1"/>
          <w:numId w:val="1"/>
        </w:numPr>
        <w:spacing w:after="0"/>
        <w:jc w:val="both"/>
        <w:rPr>
          <w:rFonts w:cstheme="minorHAnsi"/>
          <w:b w:val="0"/>
          <w:bCs/>
          <w:u w:val="none"/>
        </w:rPr>
      </w:pPr>
      <w:r>
        <w:rPr>
          <w:rFonts w:cstheme="minorHAnsi"/>
          <w:b w:val="0"/>
          <w:bCs/>
          <w:u w:val="none"/>
        </w:rPr>
        <w:t>Agrīnās intervences pakalpojum</w:t>
      </w:r>
      <w:r w:rsidR="00E031D9">
        <w:rPr>
          <w:rFonts w:cstheme="minorHAnsi"/>
          <w:b w:val="0"/>
          <w:bCs/>
          <w:u w:val="none"/>
        </w:rPr>
        <w:t>s</w:t>
      </w:r>
      <w:r>
        <w:rPr>
          <w:rFonts w:cstheme="minorHAnsi"/>
          <w:b w:val="0"/>
          <w:bCs/>
          <w:u w:val="none"/>
        </w:rPr>
        <w:t xml:space="preserve"> bērniem līdz 6 gadu vecumam</w:t>
      </w:r>
    </w:p>
    <w:p w14:paraId="13DFA6BF" w14:textId="77777777" w:rsidR="009C2945" w:rsidRPr="003D07A2" w:rsidRDefault="009C2945" w:rsidP="009C2945">
      <w:pPr>
        <w:pStyle w:val="apakvsirsraksts2"/>
        <w:keepLines/>
        <w:numPr>
          <w:ilvl w:val="0"/>
          <w:numId w:val="1"/>
        </w:numPr>
        <w:spacing w:after="0"/>
        <w:jc w:val="both"/>
        <w:rPr>
          <w:rFonts w:cstheme="minorHAnsi"/>
          <w:b w:val="0"/>
          <w:u w:val="none"/>
        </w:rPr>
      </w:pPr>
      <w:r w:rsidRPr="003D07A2">
        <w:rPr>
          <w:rFonts w:cstheme="minorHAnsi"/>
          <w:b w:val="0"/>
          <w:u w:val="none"/>
        </w:rPr>
        <w:t>Rezidentu apmācība psihiatrijā un narkoloģijā</w:t>
      </w:r>
    </w:p>
    <w:p w14:paraId="060CA30A" w14:textId="77777777" w:rsidR="009C2945" w:rsidRPr="003D07A2" w:rsidRDefault="009C2945" w:rsidP="009C2945">
      <w:pPr>
        <w:pStyle w:val="apakvsirsraksts2"/>
        <w:keepLines/>
        <w:numPr>
          <w:ilvl w:val="0"/>
          <w:numId w:val="1"/>
        </w:numPr>
        <w:spacing w:after="0"/>
        <w:jc w:val="both"/>
        <w:rPr>
          <w:rFonts w:cstheme="minorHAnsi"/>
          <w:b w:val="0"/>
          <w:u w:val="none"/>
        </w:rPr>
      </w:pPr>
      <w:r w:rsidRPr="003D07A2">
        <w:rPr>
          <w:rFonts w:cstheme="minorHAnsi"/>
          <w:b w:val="0"/>
          <w:u w:val="none"/>
        </w:rPr>
        <w:t>Sociālā aprūpe un sociālā rehabilitācija:</w:t>
      </w:r>
    </w:p>
    <w:p w14:paraId="2DD76C35" w14:textId="77777777"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Ilgstošā sociālā aprūpe un sociālā rehabilitācija personām ar smagiem garīga rakstura traucējumiem</w:t>
      </w:r>
    </w:p>
    <w:p w14:paraId="3C5F0239" w14:textId="333E951D" w:rsidR="009C2945" w:rsidRPr="003D07A2" w:rsidRDefault="009C2945" w:rsidP="00B607CC">
      <w:pPr>
        <w:pStyle w:val="apakvsirsraksts2"/>
        <w:keepLines/>
        <w:numPr>
          <w:ilvl w:val="1"/>
          <w:numId w:val="1"/>
        </w:numPr>
        <w:spacing w:after="0"/>
        <w:jc w:val="both"/>
        <w:rPr>
          <w:rFonts w:cstheme="minorHAnsi"/>
          <w:b w:val="0"/>
          <w:u w:val="none"/>
        </w:rPr>
      </w:pPr>
      <w:r w:rsidRPr="003D07A2">
        <w:rPr>
          <w:rFonts w:cstheme="minorHAnsi"/>
          <w:b w:val="0"/>
          <w:u w:val="none"/>
        </w:rPr>
        <w:t>Sociālās rehabilitācijas pakalpojumi no psihoaktīvām vielām atkarīgiem pieaugušām personām</w:t>
      </w:r>
    </w:p>
    <w:p w14:paraId="2F3AF73C" w14:textId="77777777" w:rsidR="007B5061" w:rsidRDefault="007B5061" w:rsidP="007B5061">
      <w:pPr>
        <w:spacing w:after="0"/>
        <w:jc w:val="both"/>
      </w:pPr>
    </w:p>
    <w:p w14:paraId="2A188764" w14:textId="440281D1" w:rsidR="007B5061" w:rsidRDefault="007B5061" w:rsidP="007B5061">
      <w:pPr>
        <w:spacing w:after="0"/>
        <w:jc w:val="both"/>
      </w:pPr>
      <w:r>
        <w:t>Kapitālsabiedrība no 2026. gada 1.janvāra par 6 vietām samazina stacionārā statistiski atvērto gultu skaitu, nodrošinot 263 diennakts stacionārā gultas vietas, tai skaitā 222 psihiatriskās palīdzības un 41 narkoloģiskās palīdzības nodrošināšanai. Ar pārskata gada sākumu  ir pieejamas nodaļas:</w:t>
      </w:r>
    </w:p>
    <w:p w14:paraId="0A0EBFAE" w14:textId="77777777" w:rsidR="007B5061" w:rsidRDefault="007B5061" w:rsidP="007B5061">
      <w:pPr>
        <w:pStyle w:val="Sarakstarindkopa"/>
        <w:numPr>
          <w:ilvl w:val="0"/>
          <w:numId w:val="2"/>
        </w:numPr>
        <w:spacing w:after="0"/>
        <w:jc w:val="both"/>
      </w:pPr>
      <w:r>
        <w:t>1.akūtā psihiatrijas nodaļā – 30 vietas</w:t>
      </w:r>
    </w:p>
    <w:p w14:paraId="72DC1A19" w14:textId="77777777" w:rsidR="007B5061" w:rsidRDefault="007B5061" w:rsidP="007B5061">
      <w:pPr>
        <w:pStyle w:val="Sarakstarindkopa"/>
        <w:numPr>
          <w:ilvl w:val="0"/>
          <w:numId w:val="2"/>
        </w:numPr>
        <w:spacing w:after="0"/>
        <w:jc w:val="both"/>
      </w:pPr>
      <w:r>
        <w:t>2.akūtās psihiatrijas nodaļā – 30 vietas</w:t>
      </w:r>
    </w:p>
    <w:p w14:paraId="00E23183" w14:textId="77777777" w:rsidR="007B5061" w:rsidRDefault="007B5061" w:rsidP="007B5061">
      <w:pPr>
        <w:pStyle w:val="Sarakstarindkopa"/>
        <w:numPr>
          <w:ilvl w:val="0"/>
          <w:numId w:val="2"/>
        </w:numPr>
        <w:spacing w:after="0"/>
        <w:jc w:val="both"/>
      </w:pPr>
      <w:r>
        <w:t>3.akūtā psihiatrijas nodaļā – 30 vietas</w:t>
      </w:r>
    </w:p>
    <w:p w14:paraId="00922EF5" w14:textId="77777777" w:rsidR="007B5061" w:rsidRDefault="007B5061" w:rsidP="007B5061">
      <w:pPr>
        <w:pStyle w:val="Sarakstarindkopa"/>
        <w:numPr>
          <w:ilvl w:val="0"/>
          <w:numId w:val="2"/>
        </w:numPr>
        <w:spacing w:after="0"/>
        <w:jc w:val="both"/>
      </w:pPr>
      <w:r>
        <w:t>4.akūtā psihiatrijas nodaļā – 30 vietas</w:t>
      </w:r>
    </w:p>
    <w:p w14:paraId="0320219C" w14:textId="77777777" w:rsidR="007B5061" w:rsidRDefault="007B5061" w:rsidP="007B5061">
      <w:pPr>
        <w:pStyle w:val="Sarakstarindkopa"/>
        <w:numPr>
          <w:ilvl w:val="0"/>
          <w:numId w:val="2"/>
        </w:numPr>
        <w:spacing w:after="0"/>
        <w:jc w:val="both"/>
      </w:pPr>
      <w:r>
        <w:t>Neirožu nodaļā – 22 vietas</w:t>
      </w:r>
    </w:p>
    <w:p w14:paraId="02B609EB" w14:textId="77777777" w:rsidR="007B5061" w:rsidRDefault="007B5061" w:rsidP="007B5061">
      <w:pPr>
        <w:pStyle w:val="Sarakstarindkopa"/>
        <w:numPr>
          <w:ilvl w:val="0"/>
          <w:numId w:val="2"/>
        </w:numPr>
        <w:spacing w:after="0"/>
        <w:jc w:val="both"/>
      </w:pPr>
      <w:r>
        <w:t>Subakūtā  psihiatrijas nodaļā – 32 vietas</w:t>
      </w:r>
    </w:p>
    <w:p w14:paraId="1CA735F7" w14:textId="77777777" w:rsidR="007B5061" w:rsidRDefault="007B5061" w:rsidP="007B5061">
      <w:pPr>
        <w:pStyle w:val="Sarakstarindkopa"/>
        <w:numPr>
          <w:ilvl w:val="0"/>
          <w:numId w:val="2"/>
        </w:numPr>
        <w:spacing w:after="0"/>
        <w:jc w:val="both"/>
      </w:pPr>
      <w:r>
        <w:t>Gerontopsihiatrijas nodaļā – 24 vietas;</w:t>
      </w:r>
    </w:p>
    <w:p w14:paraId="55CE0AF3" w14:textId="77777777" w:rsidR="007B5061" w:rsidRDefault="007B5061" w:rsidP="007B5061">
      <w:pPr>
        <w:pStyle w:val="Sarakstarindkopa"/>
        <w:numPr>
          <w:ilvl w:val="0"/>
          <w:numId w:val="2"/>
        </w:numPr>
        <w:spacing w:after="0"/>
        <w:jc w:val="both"/>
      </w:pPr>
      <w:r>
        <w:lastRenderedPageBreak/>
        <w:t>Bērnu psihiatrijas nodaļā – 20 vietas</w:t>
      </w:r>
    </w:p>
    <w:p w14:paraId="5C86ED92" w14:textId="77777777" w:rsidR="007B5061" w:rsidRDefault="007B5061" w:rsidP="007B5061">
      <w:pPr>
        <w:pStyle w:val="Sarakstarindkopa"/>
        <w:numPr>
          <w:ilvl w:val="0"/>
          <w:numId w:val="2"/>
        </w:numPr>
        <w:spacing w:after="0"/>
        <w:jc w:val="both"/>
      </w:pPr>
      <w:r>
        <w:t>Uzņemšanas nodaļā ar 4 observācijas gultas vietām.</w:t>
      </w:r>
    </w:p>
    <w:p w14:paraId="3F54E1BD" w14:textId="77777777" w:rsidR="007B5061" w:rsidRDefault="007B5061" w:rsidP="007B5061">
      <w:pPr>
        <w:spacing w:after="0"/>
        <w:jc w:val="both"/>
      </w:pPr>
    </w:p>
    <w:p w14:paraId="3664F87C" w14:textId="77777777" w:rsidR="007B5061" w:rsidRDefault="007B5061" w:rsidP="007B5061">
      <w:pPr>
        <w:spacing w:after="0" w:line="240" w:lineRule="auto"/>
        <w:jc w:val="both"/>
      </w:pPr>
      <w:r>
        <w:t>Narkoloģiskā profila pacientiem tiek nodrošinātas visas iepriekš īstenotās pakalpojuma programmas: narkoloģija (19 vietas); obligātā narkoloģiskā palīdzība bērniem pēc bāriņtiesas lēmuma (1 vieta), Minesotas programma stacionārā (10 vietas); narkomānu rehabilitācija stacionārā bērniem (5 vietas), narkomānu rehabilitācija pieaugušajiem (5 vietas); uzņemšanas nodaļā -1 vieta.</w:t>
      </w:r>
    </w:p>
    <w:p w14:paraId="5A9D8B4E" w14:textId="77777777" w:rsidR="007B5061" w:rsidRDefault="007B5061" w:rsidP="007B5061">
      <w:pPr>
        <w:spacing w:after="0" w:line="240" w:lineRule="auto"/>
        <w:jc w:val="both"/>
        <w:rPr>
          <w:rFonts w:cstheme="minorHAnsi"/>
        </w:rPr>
      </w:pPr>
      <w:r>
        <w:t xml:space="preserve"> Saskaņā ar </w:t>
      </w:r>
      <w:r w:rsidRPr="003D07A2">
        <w:rPr>
          <w:rFonts w:cstheme="minorHAnsi"/>
        </w:rPr>
        <w:t xml:space="preserve"> </w:t>
      </w:r>
      <w:r>
        <w:rPr>
          <w:rFonts w:cstheme="minorHAnsi"/>
        </w:rPr>
        <w:t>2024.gada 28.decembrī noslēgto līgumu ar Nacionālo veselības dienestu par pilotprojekta integrētai pieejai- pakalpojumu pieejamības uzlabošanai nepilngadīgajiem, kuri pārmērīgi lieto atkarību izraisošas vielas īstenošanu periodā no 2025.gada 1.septembra līdz 2027.gada 31.decembrim, kapitālsabiedrība īsteno programmas, nepalielinot gultu skaitu :</w:t>
      </w:r>
    </w:p>
    <w:p w14:paraId="68F61C81" w14:textId="77777777" w:rsidR="007B5061" w:rsidRPr="00B96CE5" w:rsidRDefault="007B5061" w:rsidP="007B5061">
      <w:pPr>
        <w:pStyle w:val="Sarakstarindkopa"/>
        <w:numPr>
          <w:ilvl w:val="0"/>
          <w:numId w:val="22"/>
        </w:numPr>
        <w:spacing w:after="0" w:line="240" w:lineRule="auto"/>
        <w:jc w:val="both"/>
        <w:rPr>
          <w:rFonts w:cstheme="minorHAnsi"/>
        </w:rPr>
      </w:pPr>
      <w:r w:rsidRPr="00B96CE5">
        <w:rPr>
          <w:rFonts w:cstheme="minorHAnsi"/>
        </w:rPr>
        <w:t xml:space="preserve">Atkarību izraisošu vielu nepilngadīgo rehabilitācija stacionārā bērniem ( līdz 30 dienām) </w:t>
      </w:r>
    </w:p>
    <w:p w14:paraId="44B073A7" w14:textId="77777777" w:rsidR="007B5061" w:rsidRPr="00B96CE5" w:rsidRDefault="007B5061" w:rsidP="007B5061">
      <w:pPr>
        <w:pStyle w:val="Sarakstarindkopa"/>
        <w:numPr>
          <w:ilvl w:val="0"/>
          <w:numId w:val="22"/>
        </w:numPr>
        <w:spacing w:after="0" w:line="240" w:lineRule="auto"/>
        <w:jc w:val="both"/>
        <w:rPr>
          <w:rFonts w:cstheme="minorHAnsi"/>
        </w:rPr>
      </w:pPr>
      <w:r w:rsidRPr="00B96CE5">
        <w:rPr>
          <w:rFonts w:cstheme="minorHAnsi"/>
        </w:rPr>
        <w:t xml:space="preserve">Atkarību izraisošu vielu nepilngadīgo rehabilitācija stacionārā bērniem ( līdz 60 dienām) </w:t>
      </w:r>
    </w:p>
    <w:p w14:paraId="10222142" w14:textId="77777777" w:rsidR="00BF773F" w:rsidRDefault="00BF773F" w:rsidP="00BF773F">
      <w:pPr>
        <w:spacing w:after="0"/>
        <w:jc w:val="both"/>
        <w:rPr>
          <w:rStyle w:val="Izteiksmgs"/>
          <w:b w:val="0"/>
          <w:bCs w:val="0"/>
        </w:rPr>
      </w:pPr>
    </w:p>
    <w:p w14:paraId="0B7B0DCA" w14:textId="3B018909" w:rsidR="008328C0" w:rsidRDefault="00A53E6E" w:rsidP="00BF773F">
      <w:pPr>
        <w:spacing w:after="0"/>
        <w:jc w:val="both"/>
        <w:rPr>
          <w:b/>
          <w:bCs/>
        </w:rPr>
      </w:pPr>
      <w:r>
        <w:rPr>
          <w:rStyle w:val="Izteiksmgs"/>
          <w:b w:val="0"/>
          <w:bCs w:val="0"/>
        </w:rPr>
        <w:t xml:space="preserve">Dienas stacionārs </w:t>
      </w:r>
      <w:r w:rsidR="003E5FE6">
        <w:rPr>
          <w:rStyle w:val="Izteiksmgs"/>
          <w:b w:val="0"/>
          <w:bCs w:val="0"/>
        </w:rPr>
        <w:t>nodrošina</w:t>
      </w:r>
      <w:r>
        <w:rPr>
          <w:rStyle w:val="Izteiksmgs"/>
          <w:b w:val="0"/>
          <w:bCs w:val="0"/>
        </w:rPr>
        <w:t xml:space="preserve"> 1</w:t>
      </w:r>
      <w:r w:rsidR="003E5FE6">
        <w:rPr>
          <w:rStyle w:val="Izteiksmgs"/>
          <w:b w:val="0"/>
          <w:bCs w:val="0"/>
        </w:rPr>
        <w:t>1</w:t>
      </w:r>
      <w:r>
        <w:rPr>
          <w:rStyle w:val="Izteiksmgs"/>
          <w:b w:val="0"/>
          <w:bCs w:val="0"/>
        </w:rPr>
        <w:t xml:space="preserve"> vietas </w:t>
      </w:r>
      <w:r w:rsidR="003E5FE6">
        <w:rPr>
          <w:rStyle w:val="Izteiksmgs"/>
          <w:b w:val="0"/>
          <w:bCs w:val="0"/>
        </w:rPr>
        <w:t xml:space="preserve">pieaugušajiem un </w:t>
      </w:r>
      <w:r w:rsidR="001954DC">
        <w:rPr>
          <w:rStyle w:val="Izteiksmgs"/>
          <w:b w:val="0"/>
          <w:bCs w:val="0"/>
        </w:rPr>
        <w:t>6 vietas bērniem psihiatrijā.</w:t>
      </w:r>
    </w:p>
    <w:p w14:paraId="2119AE26" w14:textId="77777777" w:rsidR="00E30AA7" w:rsidRDefault="00E30AA7" w:rsidP="008D79D0">
      <w:pPr>
        <w:spacing w:after="0"/>
        <w:rPr>
          <w:rFonts w:cstheme="minorHAnsi"/>
          <w:b/>
          <w:bCs/>
        </w:rPr>
      </w:pPr>
    </w:p>
    <w:p w14:paraId="7B885031" w14:textId="615F53AB" w:rsidR="008D79D0" w:rsidRPr="003D07A2" w:rsidRDefault="008D79D0" w:rsidP="008D79D0">
      <w:pPr>
        <w:spacing w:after="0"/>
        <w:rPr>
          <w:rFonts w:cstheme="minorHAnsi"/>
          <w:b/>
          <w:bCs/>
        </w:rPr>
      </w:pPr>
      <w:r w:rsidRPr="003D07A2">
        <w:rPr>
          <w:rFonts w:cstheme="minorHAnsi"/>
          <w:b/>
          <w:bCs/>
        </w:rPr>
        <w:t>Sabiedrības finanšu darbības rezultāti</w:t>
      </w:r>
    </w:p>
    <w:p w14:paraId="44BAC103" w14:textId="1D24ECFF" w:rsidR="009209F4" w:rsidRPr="003D07A2" w:rsidRDefault="00D44D91" w:rsidP="00C06C05">
      <w:pPr>
        <w:spacing w:before="100" w:beforeAutospacing="1" w:after="100" w:afterAutospacing="1"/>
        <w:jc w:val="both"/>
        <w:rPr>
          <w:rFonts w:cstheme="minorHAnsi"/>
        </w:rPr>
      </w:pPr>
      <w:r w:rsidRPr="003D07A2">
        <w:rPr>
          <w:rFonts w:cstheme="minorHAnsi"/>
        </w:rPr>
        <w:t xml:space="preserve">Pārskata perioda neto apgrozījums ir </w:t>
      </w:r>
      <w:r w:rsidR="00E30AA7">
        <w:rPr>
          <w:rFonts w:cstheme="minorHAnsi"/>
        </w:rPr>
        <w:t>3.</w:t>
      </w:r>
      <w:r w:rsidR="0044559F">
        <w:rPr>
          <w:rFonts w:cstheme="minorHAnsi"/>
        </w:rPr>
        <w:t>3</w:t>
      </w:r>
      <w:r w:rsidR="00E30AA7">
        <w:rPr>
          <w:rFonts w:cstheme="minorHAnsi"/>
        </w:rPr>
        <w:t xml:space="preserve"> miljoni euro</w:t>
      </w:r>
      <w:r w:rsidRPr="003D07A2">
        <w:rPr>
          <w:rFonts w:cstheme="minorHAnsi"/>
        </w:rPr>
        <w:t>, kas, salīdzinot ar 20</w:t>
      </w:r>
      <w:r w:rsidR="008328C0">
        <w:rPr>
          <w:rFonts w:cstheme="minorHAnsi"/>
        </w:rPr>
        <w:t>2</w:t>
      </w:r>
      <w:r w:rsidR="006B377B">
        <w:rPr>
          <w:rFonts w:cstheme="minorHAnsi"/>
        </w:rPr>
        <w:t>5</w:t>
      </w:r>
      <w:r w:rsidRPr="003D07A2">
        <w:rPr>
          <w:rFonts w:cstheme="minorHAnsi"/>
        </w:rPr>
        <w:t>.gad</w:t>
      </w:r>
      <w:r w:rsidR="005B595A">
        <w:rPr>
          <w:rFonts w:cstheme="minorHAnsi"/>
        </w:rPr>
        <w:t>a pārskata p</w:t>
      </w:r>
      <w:r w:rsidR="00A822D5">
        <w:rPr>
          <w:rFonts w:cstheme="minorHAnsi"/>
        </w:rPr>
        <w:t>e</w:t>
      </w:r>
      <w:r w:rsidR="005B595A">
        <w:rPr>
          <w:rFonts w:cstheme="minorHAnsi"/>
        </w:rPr>
        <w:t>riodu</w:t>
      </w:r>
      <w:r w:rsidRPr="003D07A2">
        <w:rPr>
          <w:rFonts w:cstheme="minorHAnsi"/>
        </w:rPr>
        <w:t xml:space="preserve">, ir </w:t>
      </w:r>
      <w:r w:rsidR="00F91876">
        <w:rPr>
          <w:rFonts w:cstheme="minorHAnsi"/>
        </w:rPr>
        <w:t>palielinājies</w:t>
      </w:r>
      <w:r w:rsidRPr="003D07A2">
        <w:rPr>
          <w:rFonts w:cstheme="minorHAnsi"/>
        </w:rPr>
        <w:t xml:space="preserve"> par </w:t>
      </w:r>
      <w:r w:rsidR="0097510F">
        <w:rPr>
          <w:rFonts w:cstheme="minorHAnsi"/>
        </w:rPr>
        <w:t>58 385</w:t>
      </w:r>
      <w:r w:rsidRPr="003D07A2">
        <w:rPr>
          <w:rFonts w:cstheme="minorHAnsi"/>
        </w:rPr>
        <w:t xml:space="preserve"> euro, bet  par </w:t>
      </w:r>
      <w:r w:rsidR="00523498">
        <w:rPr>
          <w:rFonts w:cstheme="minorHAnsi"/>
        </w:rPr>
        <w:t>123 931</w:t>
      </w:r>
      <w:r w:rsidRPr="003D07A2">
        <w:rPr>
          <w:rFonts w:cstheme="minorHAnsi"/>
        </w:rPr>
        <w:t xml:space="preserve"> euro mazāk kā 202</w:t>
      </w:r>
      <w:r w:rsidR="00523498">
        <w:rPr>
          <w:rFonts w:cstheme="minorHAnsi"/>
        </w:rPr>
        <w:t>6</w:t>
      </w:r>
      <w:r w:rsidRPr="003D07A2">
        <w:rPr>
          <w:rFonts w:cstheme="minorHAnsi"/>
        </w:rPr>
        <w:t>.gadā</w:t>
      </w:r>
      <w:r w:rsidR="001248A7">
        <w:rPr>
          <w:rFonts w:cstheme="minorHAnsi"/>
        </w:rPr>
        <w:t xml:space="preserve"> plānots</w:t>
      </w:r>
      <w:r w:rsidRPr="003D07A2">
        <w:rPr>
          <w:rFonts w:cstheme="minorHAnsi"/>
        </w:rPr>
        <w:t>.</w:t>
      </w:r>
    </w:p>
    <w:p w14:paraId="409C27EA" w14:textId="05ABEC2C" w:rsidR="00AB329C" w:rsidRPr="003D07A2" w:rsidRDefault="00D44D91" w:rsidP="00C06C05">
      <w:pPr>
        <w:spacing w:before="100" w:beforeAutospacing="1" w:after="100" w:afterAutospacing="1"/>
        <w:jc w:val="both"/>
        <w:rPr>
          <w:rFonts w:cstheme="minorHAnsi"/>
        </w:rPr>
      </w:pPr>
      <w:r w:rsidRPr="003D07A2">
        <w:rPr>
          <w:rFonts w:cstheme="minorHAnsi"/>
        </w:rPr>
        <w:t xml:space="preserve">Veselības aprūpes pakalpojumu ieņēmumi </w:t>
      </w:r>
      <w:r w:rsidR="00027DF4" w:rsidRPr="003D07A2">
        <w:rPr>
          <w:rFonts w:cstheme="minorHAnsi"/>
        </w:rPr>
        <w:t xml:space="preserve">ir </w:t>
      </w:r>
      <w:r w:rsidR="003C772B">
        <w:rPr>
          <w:rFonts w:cstheme="minorHAnsi"/>
        </w:rPr>
        <w:t xml:space="preserve">78% (2025.gadā </w:t>
      </w:r>
      <w:r w:rsidR="0044559F">
        <w:rPr>
          <w:rFonts w:cstheme="minorHAnsi"/>
        </w:rPr>
        <w:t>80</w:t>
      </w:r>
      <w:r w:rsidR="00027DF4" w:rsidRPr="003D07A2">
        <w:rPr>
          <w:rFonts w:cstheme="minorHAnsi"/>
        </w:rPr>
        <w:t>%</w:t>
      </w:r>
      <w:r w:rsidR="003C772B">
        <w:rPr>
          <w:rFonts w:cstheme="minorHAnsi"/>
        </w:rPr>
        <w:t>)</w:t>
      </w:r>
      <w:r w:rsidR="00027DF4" w:rsidRPr="003D07A2">
        <w:rPr>
          <w:rFonts w:cstheme="minorHAnsi"/>
        </w:rPr>
        <w:t xml:space="preserve"> </w:t>
      </w:r>
      <w:r w:rsidRPr="003D07A2">
        <w:rPr>
          <w:rFonts w:cstheme="minorHAnsi"/>
        </w:rPr>
        <w:t>no kopējiem Sabiedrības ieņēmumiem</w:t>
      </w:r>
      <w:r w:rsidR="0044559F">
        <w:rPr>
          <w:rFonts w:cstheme="minorHAnsi"/>
        </w:rPr>
        <w:t xml:space="preserve">, bet kopējie no valsts budžeta ieņēmumi sasniedz </w:t>
      </w:r>
      <w:r w:rsidR="00F2723C">
        <w:rPr>
          <w:rFonts w:cstheme="minorHAnsi"/>
        </w:rPr>
        <w:t xml:space="preserve">96.1% (2025.gadā </w:t>
      </w:r>
      <w:r w:rsidR="0044559F">
        <w:rPr>
          <w:rFonts w:cstheme="minorHAnsi"/>
        </w:rPr>
        <w:t>97.5%</w:t>
      </w:r>
      <w:r w:rsidR="00F2723C">
        <w:rPr>
          <w:rFonts w:cstheme="minorHAnsi"/>
        </w:rPr>
        <w:t>)</w:t>
      </w:r>
      <w:r w:rsidR="00CF7A9B">
        <w:rPr>
          <w:rFonts w:cstheme="minorHAnsi"/>
        </w:rPr>
        <w:t>.</w:t>
      </w:r>
      <w:r w:rsidR="00FC73ED">
        <w:rPr>
          <w:rFonts w:cstheme="minorHAnsi"/>
        </w:rPr>
        <w:t xml:space="preserve"> </w:t>
      </w:r>
    </w:p>
    <w:p w14:paraId="760898F4" w14:textId="0ACCC857" w:rsidR="007B12D7" w:rsidRPr="003D07A2" w:rsidRDefault="003F5B24" w:rsidP="00C06C05">
      <w:pPr>
        <w:spacing w:before="100" w:beforeAutospacing="1" w:after="100" w:afterAutospacing="1"/>
        <w:jc w:val="center"/>
        <w:rPr>
          <w:rFonts w:cstheme="minorHAnsi"/>
        </w:rPr>
      </w:pPr>
      <w:r w:rsidRPr="003D07A2">
        <w:rPr>
          <w:rFonts w:cstheme="minorHAnsi"/>
          <w:b/>
          <w:bCs/>
        </w:rPr>
        <w:t>Ieņēmumi</w:t>
      </w:r>
      <w:r w:rsidR="002A6BBB" w:rsidRPr="003D07A2">
        <w:rPr>
          <w:rFonts w:cstheme="minorHAnsi"/>
        </w:rPr>
        <w:t>, euro</w:t>
      </w:r>
    </w:p>
    <w:tbl>
      <w:tblPr>
        <w:tblStyle w:val="Reatabula"/>
        <w:tblW w:w="8744" w:type="dxa"/>
        <w:jc w:val="center"/>
        <w:tblLook w:val="04A0" w:firstRow="1" w:lastRow="0" w:firstColumn="1" w:lastColumn="0" w:noHBand="0" w:noVBand="1"/>
      </w:tblPr>
      <w:tblGrid>
        <w:gridCol w:w="2219"/>
        <w:gridCol w:w="1270"/>
        <w:gridCol w:w="1362"/>
        <w:gridCol w:w="1306"/>
        <w:gridCol w:w="1351"/>
        <w:gridCol w:w="1236"/>
      </w:tblGrid>
      <w:tr w:rsidR="00694602" w:rsidRPr="003D07A2" w14:paraId="0D86E087" w14:textId="77777777" w:rsidTr="00694602">
        <w:trPr>
          <w:trHeight w:val="709"/>
          <w:jc w:val="center"/>
        </w:trPr>
        <w:tc>
          <w:tcPr>
            <w:tcW w:w="2219" w:type="dxa"/>
            <w:vAlign w:val="center"/>
          </w:tcPr>
          <w:p w14:paraId="42E0C519" w14:textId="77777777" w:rsidR="00694602" w:rsidRPr="003D07A2" w:rsidRDefault="00694602" w:rsidP="00694602">
            <w:pPr>
              <w:jc w:val="center"/>
              <w:rPr>
                <w:rFonts w:cstheme="minorHAnsi"/>
              </w:rPr>
            </w:pPr>
            <w:r w:rsidRPr="003D07A2">
              <w:rPr>
                <w:rFonts w:cstheme="minorHAnsi"/>
              </w:rPr>
              <w:t>Pakalpojumu veidi</w:t>
            </w:r>
          </w:p>
        </w:tc>
        <w:tc>
          <w:tcPr>
            <w:tcW w:w="1270" w:type="dxa"/>
            <w:vAlign w:val="center"/>
          </w:tcPr>
          <w:p w14:paraId="7508A5D0" w14:textId="6F7A4591" w:rsidR="00694602" w:rsidRPr="003D07A2" w:rsidRDefault="00694602" w:rsidP="00694602">
            <w:pPr>
              <w:jc w:val="center"/>
              <w:rPr>
                <w:rFonts w:cstheme="minorHAnsi"/>
              </w:rPr>
            </w:pPr>
            <w:r w:rsidRPr="003D07A2">
              <w:rPr>
                <w:rFonts w:cstheme="minorHAnsi"/>
              </w:rPr>
              <w:t>202</w:t>
            </w:r>
            <w:r>
              <w:rPr>
                <w:rFonts w:cstheme="minorHAnsi"/>
              </w:rPr>
              <w:t>5</w:t>
            </w:r>
            <w:r w:rsidRPr="003D07A2">
              <w:rPr>
                <w:rFonts w:cstheme="minorHAnsi"/>
              </w:rPr>
              <w:t>.g. fakts</w:t>
            </w:r>
          </w:p>
        </w:tc>
        <w:tc>
          <w:tcPr>
            <w:tcW w:w="1362" w:type="dxa"/>
            <w:vAlign w:val="center"/>
          </w:tcPr>
          <w:p w14:paraId="5403E7CE" w14:textId="432F3EF1" w:rsidR="00694602" w:rsidRPr="003D07A2" w:rsidRDefault="00694602" w:rsidP="00694602">
            <w:pPr>
              <w:jc w:val="center"/>
              <w:rPr>
                <w:rFonts w:cstheme="minorHAnsi"/>
              </w:rPr>
            </w:pPr>
            <w:r w:rsidRPr="003D07A2">
              <w:rPr>
                <w:rFonts w:cstheme="minorHAnsi"/>
              </w:rPr>
              <w:t>202</w:t>
            </w:r>
            <w:r>
              <w:rPr>
                <w:rFonts w:cstheme="minorHAnsi"/>
              </w:rPr>
              <w:t>6</w:t>
            </w:r>
            <w:r w:rsidRPr="003D07A2">
              <w:rPr>
                <w:rFonts w:cstheme="minorHAnsi"/>
              </w:rPr>
              <w:t>.g. plāns</w:t>
            </w:r>
          </w:p>
        </w:tc>
        <w:tc>
          <w:tcPr>
            <w:tcW w:w="1306" w:type="dxa"/>
            <w:vAlign w:val="center"/>
          </w:tcPr>
          <w:p w14:paraId="34E0A792" w14:textId="23A0F4AD" w:rsidR="00694602" w:rsidRPr="003D07A2" w:rsidRDefault="00694602" w:rsidP="00694602">
            <w:pPr>
              <w:jc w:val="center"/>
              <w:rPr>
                <w:rFonts w:cstheme="minorHAnsi"/>
              </w:rPr>
            </w:pPr>
            <w:r w:rsidRPr="003D07A2">
              <w:rPr>
                <w:rFonts w:cstheme="minorHAnsi"/>
              </w:rPr>
              <w:t>202</w:t>
            </w:r>
            <w:r>
              <w:rPr>
                <w:rFonts w:cstheme="minorHAnsi"/>
              </w:rPr>
              <w:t>6</w:t>
            </w:r>
            <w:r w:rsidRPr="003D07A2">
              <w:rPr>
                <w:rFonts w:cstheme="minorHAnsi"/>
              </w:rPr>
              <w:t>.g. fakts</w:t>
            </w:r>
          </w:p>
        </w:tc>
        <w:tc>
          <w:tcPr>
            <w:tcW w:w="1351" w:type="dxa"/>
            <w:vAlign w:val="center"/>
          </w:tcPr>
          <w:p w14:paraId="29896ECC" w14:textId="0DB57235" w:rsidR="00694602" w:rsidRPr="003D07A2" w:rsidRDefault="00694602" w:rsidP="00694602">
            <w:pPr>
              <w:jc w:val="center"/>
              <w:rPr>
                <w:rFonts w:cstheme="minorHAnsi"/>
              </w:rPr>
            </w:pPr>
            <w:r w:rsidRPr="003D07A2">
              <w:rPr>
                <w:rFonts w:cstheme="minorHAnsi"/>
              </w:rPr>
              <w:t>Novirze pret 20</w:t>
            </w:r>
            <w:r>
              <w:rPr>
                <w:rFonts w:cstheme="minorHAnsi"/>
              </w:rPr>
              <w:t>25</w:t>
            </w:r>
            <w:r w:rsidRPr="003D07A2">
              <w:rPr>
                <w:rFonts w:cstheme="minorHAnsi"/>
              </w:rPr>
              <w:t>.g.</w:t>
            </w:r>
          </w:p>
        </w:tc>
        <w:tc>
          <w:tcPr>
            <w:tcW w:w="1236" w:type="dxa"/>
            <w:vAlign w:val="center"/>
          </w:tcPr>
          <w:p w14:paraId="186C4B06" w14:textId="77777777" w:rsidR="00694602" w:rsidRPr="003D07A2" w:rsidRDefault="00694602" w:rsidP="00694602">
            <w:pPr>
              <w:jc w:val="center"/>
              <w:rPr>
                <w:rFonts w:cstheme="minorHAnsi"/>
              </w:rPr>
            </w:pPr>
            <w:r w:rsidRPr="003D07A2">
              <w:rPr>
                <w:rFonts w:cstheme="minorHAnsi"/>
              </w:rPr>
              <w:t>Novirze pret plānu</w:t>
            </w:r>
          </w:p>
        </w:tc>
      </w:tr>
      <w:tr w:rsidR="00694602" w:rsidRPr="003D07A2" w14:paraId="1849B81E" w14:textId="77777777" w:rsidTr="00694602">
        <w:trPr>
          <w:trHeight w:val="488"/>
          <w:jc w:val="center"/>
        </w:trPr>
        <w:tc>
          <w:tcPr>
            <w:tcW w:w="2219" w:type="dxa"/>
          </w:tcPr>
          <w:p w14:paraId="0A604921" w14:textId="77777777" w:rsidR="00694602" w:rsidRPr="003D07A2" w:rsidRDefault="00694602" w:rsidP="00694602">
            <w:pPr>
              <w:rPr>
                <w:rFonts w:cstheme="minorHAnsi"/>
              </w:rPr>
            </w:pPr>
            <w:r w:rsidRPr="003D07A2">
              <w:rPr>
                <w:rFonts w:cstheme="minorHAnsi"/>
              </w:rPr>
              <w:t>Stacionārie veselības aprūpes pakalpojumi</w:t>
            </w:r>
          </w:p>
        </w:tc>
        <w:tc>
          <w:tcPr>
            <w:tcW w:w="1270" w:type="dxa"/>
            <w:vAlign w:val="center"/>
          </w:tcPr>
          <w:p w14:paraId="3A0C1DD4" w14:textId="40CBC8F5" w:rsidR="00694602" w:rsidRDefault="00694602" w:rsidP="00694602">
            <w:pPr>
              <w:jc w:val="center"/>
              <w:rPr>
                <w:rFonts w:cstheme="minorHAnsi"/>
              </w:rPr>
            </w:pPr>
            <w:r>
              <w:rPr>
                <w:rFonts w:cstheme="minorHAnsi"/>
              </w:rPr>
              <w:t>2 384 212</w:t>
            </w:r>
          </w:p>
        </w:tc>
        <w:tc>
          <w:tcPr>
            <w:tcW w:w="1362" w:type="dxa"/>
            <w:vAlign w:val="center"/>
          </w:tcPr>
          <w:p w14:paraId="3FD79C2C" w14:textId="6A3B3D5D" w:rsidR="00694602" w:rsidRPr="003D07A2" w:rsidRDefault="00C55BA9" w:rsidP="00694602">
            <w:pPr>
              <w:jc w:val="center"/>
              <w:rPr>
                <w:rFonts w:cstheme="minorHAnsi"/>
              </w:rPr>
            </w:pPr>
            <w:r>
              <w:rPr>
                <w:rFonts w:cstheme="minorHAnsi"/>
              </w:rPr>
              <w:t>2 480 537</w:t>
            </w:r>
          </w:p>
        </w:tc>
        <w:tc>
          <w:tcPr>
            <w:tcW w:w="1306" w:type="dxa"/>
            <w:vAlign w:val="center"/>
          </w:tcPr>
          <w:p w14:paraId="4D8F1D99" w14:textId="23078DD5" w:rsidR="00694602" w:rsidRPr="003D07A2" w:rsidRDefault="00890B97" w:rsidP="00694602">
            <w:pPr>
              <w:jc w:val="center"/>
              <w:rPr>
                <w:rFonts w:cstheme="minorHAnsi"/>
              </w:rPr>
            </w:pPr>
            <w:r>
              <w:rPr>
                <w:rFonts w:cstheme="minorHAnsi"/>
              </w:rPr>
              <w:t>2 388 365</w:t>
            </w:r>
          </w:p>
        </w:tc>
        <w:tc>
          <w:tcPr>
            <w:tcW w:w="1351" w:type="dxa"/>
            <w:vAlign w:val="center"/>
          </w:tcPr>
          <w:p w14:paraId="066F59B7" w14:textId="70814EE0" w:rsidR="00694602" w:rsidRPr="003D07A2" w:rsidRDefault="00303EEB" w:rsidP="00694602">
            <w:pPr>
              <w:jc w:val="center"/>
              <w:rPr>
                <w:rFonts w:cstheme="minorHAnsi"/>
              </w:rPr>
            </w:pPr>
            <w:r>
              <w:rPr>
                <w:rFonts w:cstheme="minorHAnsi"/>
              </w:rPr>
              <w:t>+4 153</w:t>
            </w:r>
          </w:p>
        </w:tc>
        <w:tc>
          <w:tcPr>
            <w:tcW w:w="1236" w:type="dxa"/>
            <w:vAlign w:val="center"/>
          </w:tcPr>
          <w:p w14:paraId="78D180DE" w14:textId="4C41D53A" w:rsidR="00694602" w:rsidRPr="003D07A2" w:rsidRDefault="00694602" w:rsidP="00694602">
            <w:pPr>
              <w:jc w:val="center"/>
              <w:rPr>
                <w:rFonts w:cstheme="minorHAnsi"/>
              </w:rPr>
            </w:pPr>
            <w:r>
              <w:rPr>
                <w:rFonts w:cstheme="minorHAnsi"/>
              </w:rPr>
              <w:t>-</w:t>
            </w:r>
            <w:r w:rsidR="00890B97">
              <w:rPr>
                <w:rFonts w:cstheme="minorHAnsi"/>
              </w:rPr>
              <w:t>92 172</w:t>
            </w:r>
          </w:p>
        </w:tc>
      </w:tr>
      <w:tr w:rsidR="00694602" w:rsidRPr="003D07A2" w14:paraId="15688485" w14:textId="77777777" w:rsidTr="00694602">
        <w:trPr>
          <w:trHeight w:val="473"/>
          <w:jc w:val="center"/>
        </w:trPr>
        <w:tc>
          <w:tcPr>
            <w:tcW w:w="2219" w:type="dxa"/>
          </w:tcPr>
          <w:p w14:paraId="5F2906ED" w14:textId="77777777" w:rsidR="00694602" w:rsidRPr="003D07A2" w:rsidRDefault="00694602" w:rsidP="00694602">
            <w:pPr>
              <w:rPr>
                <w:rFonts w:cstheme="minorHAnsi"/>
              </w:rPr>
            </w:pPr>
            <w:r w:rsidRPr="003D07A2">
              <w:rPr>
                <w:rFonts w:cstheme="minorHAnsi"/>
              </w:rPr>
              <w:t>Ambulatorie veselības aprūpes pakalpojumi</w:t>
            </w:r>
          </w:p>
        </w:tc>
        <w:tc>
          <w:tcPr>
            <w:tcW w:w="1270" w:type="dxa"/>
            <w:vAlign w:val="center"/>
          </w:tcPr>
          <w:p w14:paraId="35A32BBA" w14:textId="64E92D74" w:rsidR="00694602" w:rsidRDefault="00694602" w:rsidP="00694602">
            <w:pPr>
              <w:jc w:val="center"/>
              <w:rPr>
                <w:rFonts w:cstheme="minorHAnsi"/>
              </w:rPr>
            </w:pPr>
            <w:r>
              <w:rPr>
                <w:rFonts w:cstheme="minorHAnsi"/>
              </w:rPr>
              <w:t>260 838</w:t>
            </w:r>
          </w:p>
        </w:tc>
        <w:tc>
          <w:tcPr>
            <w:tcW w:w="1362" w:type="dxa"/>
            <w:vAlign w:val="center"/>
          </w:tcPr>
          <w:p w14:paraId="26AF8B48" w14:textId="6BDF4683" w:rsidR="00694602" w:rsidRPr="003D07A2" w:rsidRDefault="00694602" w:rsidP="00694602">
            <w:pPr>
              <w:jc w:val="center"/>
              <w:rPr>
                <w:rFonts w:cstheme="minorHAnsi"/>
              </w:rPr>
            </w:pPr>
            <w:r>
              <w:rPr>
                <w:rFonts w:cstheme="minorHAnsi"/>
              </w:rPr>
              <w:t xml:space="preserve">286 </w:t>
            </w:r>
            <w:r w:rsidR="00303EEB">
              <w:rPr>
                <w:rFonts w:cstheme="minorHAnsi"/>
              </w:rPr>
              <w:t>962</w:t>
            </w:r>
          </w:p>
        </w:tc>
        <w:tc>
          <w:tcPr>
            <w:tcW w:w="1306" w:type="dxa"/>
            <w:vAlign w:val="center"/>
          </w:tcPr>
          <w:p w14:paraId="377F0626" w14:textId="69075D9C" w:rsidR="00694602" w:rsidRPr="003D07A2" w:rsidRDefault="0027082D" w:rsidP="00694602">
            <w:pPr>
              <w:jc w:val="center"/>
              <w:rPr>
                <w:rFonts w:cstheme="minorHAnsi"/>
              </w:rPr>
            </w:pPr>
            <w:r>
              <w:rPr>
                <w:rFonts w:cstheme="minorHAnsi"/>
              </w:rPr>
              <w:t>276 786</w:t>
            </w:r>
          </w:p>
        </w:tc>
        <w:tc>
          <w:tcPr>
            <w:tcW w:w="1351" w:type="dxa"/>
            <w:vAlign w:val="center"/>
          </w:tcPr>
          <w:p w14:paraId="1F1BB41A" w14:textId="7DA30E60" w:rsidR="00694602" w:rsidRPr="003D07A2" w:rsidRDefault="00840743" w:rsidP="00694602">
            <w:pPr>
              <w:jc w:val="center"/>
              <w:rPr>
                <w:rFonts w:cstheme="minorHAnsi"/>
              </w:rPr>
            </w:pPr>
            <w:r>
              <w:rPr>
                <w:rFonts w:cstheme="minorHAnsi"/>
              </w:rPr>
              <w:t>+15 948</w:t>
            </w:r>
          </w:p>
        </w:tc>
        <w:tc>
          <w:tcPr>
            <w:tcW w:w="1236" w:type="dxa"/>
            <w:vAlign w:val="center"/>
          </w:tcPr>
          <w:p w14:paraId="04D90A30" w14:textId="60983790" w:rsidR="00694602" w:rsidRPr="003D07A2" w:rsidRDefault="00694602" w:rsidP="00694602">
            <w:pPr>
              <w:jc w:val="center"/>
              <w:rPr>
                <w:rFonts w:cstheme="minorHAnsi"/>
              </w:rPr>
            </w:pPr>
            <w:r>
              <w:rPr>
                <w:rFonts w:cstheme="minorHAnsi"/>
              </w:rPr>
              <w:t>-</w:t>
            </w:r>
            <w:r w:rsidR="0027082D">
              <w:rPr>
                <w:rFonts w:cstheme="minorHAnsi"/>
              </w:rPr>
              <w:t>10 176</w:t>
            </w:r>
          </w:p>
        </w:tc>
      </w:tr>
      <w:tr w:rsidR="00694602" w:rsidRPr="003D07A2" w14:paraId="6A2FD710" w14:textId="77777777" w:rsidTr="00694602">
        <w:trPr>
          <w:trHeight w:val="473"/>
          <w:jc w:val="center"/>
        </w:trPr>
        <w:tc>
          <w:tcPr>
            <w:tcW w:w="2219" w:type="dxa"/>
          </w:tcPr>
          <w:p w14:paraId="65B094D1" w14:textId="77777777" w:rsidR="00694602" w:rsidRPr="003D07A2" w:rsidRDefault="00694602" w:rsidP="00694602">
            <w:pPr>
              <w:rPr>
                <w:rFonts w:cstheme="minorHAnsi"/>
              </w:rPr>
            </w:pPr>
            <w:r w:rsidRPr="003D07A2">
              <w:rPr>
                <w:rFonts w:cstheme="minorHAnsi"/>
              </w:rPr>
              <w:t>Sociālā aprūpe un sociālā rehabilitācija</w:t>
            </w:r>
          </w:p>
        </w:tc>
        <w:tc>
          <w:tcPr>
            <w:tcW w:w="1270" w:type="dxa"/>
            <w:vAlign w:val="center"/>
          </w:tcPr>
          <w:p w14:paraId="2555CCFD" w14:textId="60819BCC" w:rsidR="00694602" w:rsidRDefault="00694602" w:rsidP="00694602">
            <w:pPr>
              <w:jc w:val="center"/>
              <w:rPr>
                <w:rFonts w:cstheme="minorHAnsi"/>
              </w:rPr>
            </w:pPr>
            <w:r>
              <w:rPr>
                <w:rFonts w:cstheme="minorHAnsi"/>
              </w:rPr>
              <w:t>456 392</w:t>
            </w:r>
          </w:p>
        </w:tc>
        <w:tc>
          <w:tcPr>
            <w:tcW w:w="1362" w:type="dxa"/>
            <w:vAlign w:val="center"/>
          </w:tcPr>
          <w:p w14:paraId="2BF2A7AF" w14:textId="3BDB17DE" w:rsidR="00694602" w:rsidRPr="003D07A2" w:rsidRDefault="003B14F2" w:rsidP="00694602">
            <w:pPr>
              <w:jc w:val="center"/>
              <w:rPr>
                <w:rFonts w:cstheme="minorHAnsi"/>
              </w:rPr>
            </w:pPr>
            <w:r>
              <w:rPr>
                <w:rFonts w:cstheme="minorHAnsi"/>
              </w:rPr>
              <w:t>479 265</w:t>
            </w:r>
          </w:p>
        </w:tc>
        <w:tc>
          <w:tcPr>
            <w:tcW w:w="1306" w:type="dxa"/>
            <w:vAlign w:val="center"/>
          </w:tcPr>
          <w:p w14:paraId="1717ADEF" w14:textId="554D8D28" w:rsidR="00694602" w:rsidRPr="003D07A2" w:rsidRDefault="003B14F2" w:rsidP="00694602">
            <w:pPr>
              <w:jc w:val="center"/>
              <w:rPr>
                <w:rFonts w:cstheme="minorHAnsi"/>
              </w:rPr>
            </w:pPr>
            <w:r>
              <w:rPr>
                <w:rFonts w:cstheme="minorHAnsi"/>
              </w:rPr>
              <w:t>466 287</w:t>
            </w:r>
          </w:p>
        </w:tc>
        <w:tc>
          <w:tcPr>
            <w:tcW w:w="1351" w:type="dxa"/>
            <w:vAlign w:val="center"/>
          </w:tcPr>
          <w:p w14:paraId="027856A3" w14:textId="63A971B3" w:rsidR="00694602" w:rsidRPr="003D07A2" w:rsidRDefault="00694602" w:rsidP="00694602">
            <w:pPr>
              <w:jc w:val="center"/>
              <w:rPr>
                <w:rFonts w:cstheme="minorHAnsi"/>
              </w:rPr>
            </w:pPr>
            <w:r>
              <w:rPr>
                <w:rFonts w:cstheme="minorHAnsi"/>
              </w:rPr>
              <w:t>+</w:t>
            </w:r>
            <w:r w:rsidR="00037E00">
              <w:rPr>
                <w:rFonts w:cstheme="minorHAnsi"/>
              </w:rPr>
              <w:t>9 895</w:t>
            </w:r>
          </w:p>
        </w:tc>
        <w:tc>
          <w:tcPr>
            <w:tcW w:w="1236" w:type="dxa"/>
            <w:vAlign w:val="center"/>
          </w:tcPr>
          <w:p w14:paraId="5DA05027" w14:textId="056B13EC" w:rsidR="00694602" w:rsidRPr="003D07A2" w:rsidRDefault="00694602" w:rsidP="00694602">
            <w:pPr>
              <w:jc w:val="center"/>
              <w:rPr>
                <w:rFonts w:cstheme="minorHAnsi"/>
              </w:rPr>
            </w:pPr>
            <w:r>
              <w:rPr>
                <w:rFonts w:cstheme="minorHAnsi"/>
              </w:rPr>
              <w:t>-</w:t>
            </w:r>
            <w:r w:rsidR="003B14F2">
              <w:rPr>
                <w:rFonts w:cstheme="minorHAnsi"/>
              </w:rPr>
              <w:t>12 978</w:t>
            </w:r>
          </w:p>
        </w:tc>
      </w:tr>
      <w:tr w:rsidR="00694602" w:rsidRPr="003D07A2" w14:paraId="1DD0F462" w14:textId="77777777" w:rsidTr="00694602">
        <w:trPr>
          <w:trHeight w:val="473"/>
          <w:jc w:val="center"/>
        </w:trPr>
        <w:tc>
          <w:tcPr>
            <w:tcW w:w="2219" w:type="dxa"/>
          </w:tcPr>
          <w:p w14:paraId="485A6B10" w14:textId="77777777" w:rsidR="00694602" w:rsidRPr="003D07A2" w:rsidRDefault="00694602" w:rsidP="00694602">
            <w:pPr>
              <w:rPr>
                <w:rFonts w:cstheme="minorHAnsi"/>
              </w:rPr>
            </w:pPr>
            <w:r w:rsidRPr="003D07A2">
              <w:rPr>
                <w:rFonts w:cstheme="minorHAnsi"/>
              </w:rPr>
              <w:t>Rezidentu apmācība</w:t>
            </w:r>
          </w:p>
        </w:tc>
        <w:tc>
          <w:tcPr>
            <w:tcW w:w="1270" w:type="dxa"/>
            <w:vAlign w:val="center"/>
          </w:tcPr>
          <w:p w14:paraId="2732B77A" w14:textId="6742C716" w:rsidR="00694602" w:rsidRDefault="00694602" w:rsidP="00694602">
            <w:pPr>
              <w:jc w:val="center"/>
              <w:rPr>
                <w:rFonts w:cstheme="minorHAnsi"/>
              </w:rPr>
            </w:pPr>
            <w:r>
              <w:rPr>
                <w:rFonts w:cstheme="minorHAnsi"/>
              </w:rPr>
              <w:t>128 628</w:t>
            </w:r>
          </w:p>
        </w:tc>
        <w:tc>
          <w:tcPr>
            <w:tcW w:w="1362" w:type="dxa"/>
            <w:vAlign w:val="center"/>
          </w:tcPr>
          <w:p w14:paraId="15889B0E" w14:textId="1A7E8F3A" w:rsidR="00694602" w:rsidRPr="003D07A2" w:rsidRDefault="00037E00" w:rsidP="00694602">
            <w:pPr>
              <w:jc w:val="center"/>
              <w:rPr>
                <w:rFonts w:cstheme="minorHAnsi"/>
              </w:rPr>
            </w:pPr>
            <w:r>
              <w:rPr>
                <w:rFonts w:cstheme="minorHAnsi"/>
              </w:rPr>
              <w:t>159 092</w:t>
            </w:r>
          </w:p>
        </w:tc>
        <w:tc>
          <w:tcPr>
            <w:tcW w:w="1306" w:type="dxa"/>
            <w:vAlign w:val="center"/>
          </w:tcPr>
          <w:p w14:paraId="34B11545" w14:textId="522D1396" w:rsidR="00694602" w:rsidRPr="003D07A2" w:rsidRDefault="00037E00" w:rsidP="00694602">
            <w:pPr>
              <w:jc w:val="center"/>
              <w:rPr>
                <w:rFonts w:cstheme="minorHAnsi"/>
              </w:rPr>
            </w:pPr>
            <w:r>
              <w:rPr>
                <w:rFonts w:cstheme="minorHAnsi"/>
              </w:rPr>
              <w:t>153 435</w:t>
            </w:r>
          </w:p>
        </w:tc>
        <w:tc>
          <w:tcPr>
            <w:tcW w:w="1351" w:type="dxa"/>
            <w:vAlign w:val="center"/>
          </w:tcPr>
          <w:p w14:paraId="0889BFDA" w14:textId="73ACDA99" w:rsidR="00694602" w:rsidRPr="003D07A2" w:rsidRDefault="00694602" w:rsidP="00694602">
            <w:pPr>
              <w:jc w:val="center"/>
              <w:rPr>
                <w:rFonts w:cstheme="minorHAnsi"/>
              </w:rPr>
            </w:pPr>
            <w:r>
              <w:rPr>
                <w:rFonts w:cstheme="minorHAnsi"/>
              </w:rPr>
              <w:t>+</w:t>
            </w:r>
            <w:r w:rsidR="00055754">
              <w:rPr>
                <w:rFonts w:cstheme="minorHAnsi"/>
              </w:rPr>
              <w:t>24 807</w:t>
            </w:r>
          </w:p>
        </w:tc>
        <w:tc>
          <w:tcPr>
            <w:tcW w:w="1236" w:type="dxa"/>
            <w:vAlign w:val="center"/>
          </w:tcPr>
          <w:p w14:paraId="2791C21F" w14:textId="74A665B5" w:rsidR="00694602" w:rsidRPr="003D07A2" w:rsidRDefault="00037E00" w:rsidP="00694602">
            <w:pPr>
              <w:jc w:val="center"/>
              <w:rPr>
                <w:rFonts w:cstheme="minorHAnsi"/>
              </w:rPr>
            </w:pPr>
            <w:r>
              <w:rPr>
                <w:rFonts w:cstheme="minorHAnsi"/>
              </w:rPr>
              <w:t>-5 657</w:t>
            </w:r>
          </w:p>
        </w:tc>
      </w:tr>
      <w:tr w:rsidR="00694602" w:rsidRPr="003D07A2" w14:paraId="1459C320" w14:textId="77777777" w:rsidTr="00694602">
        <w:trPr>
          <w:trHeight w:val="473"/>
          <w:jc w:val="center"/>
        </w:trPr>
        <w:tc>
          <w:tcPr>
            <w:tcW w:w="2219" w:type="dxa"/>
          </w:tcPr>
          <w:p w14:paraId="743C1443" w14:textId="77777777" w:rsidR="00694602" w:rsidRPr="003D07A2" w:rsidRDefault="00694602" w:rsidP="00694602">
            <w:pPr>
              <w:rPr>
                <w:rFonts w:cstheme="minorHAnsi"/>
              </w:rPr>
            </w:pPr>
            <w:r w:rsidRPr="003D07A2">
              <w:rPr>
                <w:rFonts w:cstheme="minorHAnsi"/>
              </w:rPr>
              <w:t>Uzņēmuma nopelnītie līdzekļi</w:t>
            </w:r>
          </w:p>
        </w:tc>
        <w:tc>
          <w:tcPr>
            <w:tcW w:w="1270" w:type="dxa"/>
            <w:vAlign w:val="center"/>
          </w:tcPr>
          <w:p w14:paraId="3C0F9962" w14:textId="07DC7901" w:rsidR="00694602" w:rsidRDefault="00694602" w:rsidP="00694602">
            <w:pPr>
              <w:jc w:val="center"/>
              <w:rPr>
                <w:rFonts w:cstheme="minorHAnsi"/>
              </w:rPr>
            </w:pPr>
            <w:r>
              <w:rPr>
                <w:rFonts w:cstheme="minorHAnsi"/>
              </w:rPr>
              <w:t>74 491</w:t>
            </w:r>
          </w:p>
        </w:tc>
        <w:tc>
          <w:tcPr>
            <w:tcW w:w="1362" w:type="dxa"/>
            <w:vAlign w:val="center"/>
          </w:tcPr>
          <w:p w14:paraId="6684AC7B" w14:textId="1A0F75F1" w:rsidR="00694602" w:rsidRPr="003D07A2" w:rsidRDefault="00055754" w:rsidP="00694602">
            <w:pPr>
              <w:jc w:val="center"/>
              <w:rPr>
                <w:rFonts w:cstheme="minorHAnsi"/>
              </w:rPr>
            </w:pPr>
            <w:r>
              <w:rPr>
                <w:rFonts w:cstheme="minorHAnsi"/>
              </w:rPr>
              <w:t>83 538</w:t>
            </w:r>
          </w:p>
        </w:tc>
        <w:tc>
          <w:tcPr>
            <w:tcW w:w="1306" w:type="dxa"/>
            <w:vAlign w:val="center"/>
          </w:tcPr>
          <w:p w14:paraId="0AD9E26C" w14:textId="04F82BA9" w:rsidR="00694602" w:rsidRPr="003D07A2" w:rsidRDefault="00055754" w:rsidP="00694602">
            <w:pPr>
              <w:jc w:val="center"/>
              <w:rPr>
                <w:rFonts w:cstheme="minorHAnsi"/>
              </w:rPr>
            </w:pPr>
            <w:r>
              <w:rPr>
                <w:rFonts w:cstheme="minorHAnsi"/>
              </w:rPr>
              <w:t>83 819</w:t>
            </w:r>
          </w:p>
        </w:tc>
        <w:tc>
          <w:tcPr>
            <w:tcW w:w="1351" w:type="dxa"/>
            <w:vAlign w:val="center"/>
          </w:tcPr>
          <w:p w14:paraId="63D006C0" w14:textId="562008EA" w:rsidR="00694602" w:rsidRPr="003D07A2" w:rsidRDefault="006541DE" w:rsidP="00694602">
            <w:pPr>
              <w:jc w:val="center"/>
              <w:rPr>
                <w:rFonts w:cstheme="minorHAnsi"/>
              </w:rPr>
            </w:pPr>
            <w:r>
              <w:rPr>
                <w:rFonts w:cstheme="minorHAnsi"/>
              </w:rPr>
              <w:t>+9 328</w:t>
            </w:r>
          </w:p>
        </w:tc>
        <w:tc>
          <w:tcPr>
            <w:tcW w:w="1236" w:type="dxa"/>
            <w:vAlign w:val="center"/>
          </w:tcPr>
          <w:p w14:paraId="3E9FD276" w14:textId="00BED536" w:rsidR="00694602" w:rsidRPr="003D07A2" w:rsidRDefault="00055754" w:rsidP="00694602">
            <w:pPr>
              <w:jc w:val="center"/>
              <w:rPr>
                <w:rFonts w:cstheme="minorHAnsi"/>
              </w:rPr>
            </w:pPr>
            <w:r>
              <w:rPr>
                <w:rFonts w:cstheme="minorHAnsi"/>
              </w:rPr>
              <w:t>+281</w:t>
            </w:r>
          </w:p>
        </w:tc>
      </w:tr>
    </w:tbl>
    <w:p w14:paraId="57F21E5A" w14:textId="17AB0FE7" w:rsidR="00FE6F58" w:rsidRDefault="00DF2D03" w:rsidP="00E60246">
      <w:pPr>
        <w:spacing w:before="100" w:beforeAutospacing="1" w:after="0"/>
        <w:jc w:val="both"/>
      </w:pPr>
      <w:r w:rsidRPr="003D07A2">
        <w:rPr>
          <w:rFonts w:cstheme="minorHAnsi"/>
        </w:rPr>
        <w:t xml:space="preserve">Ieņēmumu pieaugumu </w:t>
      </w:r>
      <w:r w:rsidR="00FE6F58">
        <w:rPr>
          <w:rFonts w:cstheme="minorHAnsi"/>
        </w:rPr>
        <w:t>202</w:t>
      </w:r>
      <w:r w:rsidR="006541DE">
        <w:rPr>
          <w:rFonts w:cstheme="minorHAnsi"/>
        </w:rPr>
        <w:t>6</w:t>
      </w:r>
      <w:r w:rsidR="00FE6F58">
        <w:rPr>
          <w:rFonts w:cstheme="minorHAnsi"/>
        </w:rPr>
        <w:t xml:space="preserve">.gadā, salīdzinot ar iepriekšējo gadu, </w:t>
      </w:r>
      <w:r w:rsidR="00BE1B7B">
        <w:rPr>
          <w:rFonts w:cstheme="minorHAnsi"/>
        </w:rPr>
        <w:t>nodrošina</w:t>
      </w:r>
      <w:r w:rsidR="00FE6F58">
        <w:rPr>
          <w:rFonts w:cstheme="minorHAnsi"/>
        </w:rPr>
        <w:t xml:space="preserve"> sociālās aprūpes un sociālās rehabilitācijas pakalpojum</w:t>
      </w:r>
      <w:r w:rsidR="00BE1B7B">
        <w:rPr>
          <w:rFonts w:cstheme="minorHAnsi"/>
        </w:rPr>
        <w:t>i</w:t>
      </w:r>
      <w:r w:rsidR="00E60246">
        <w:rPr>
          <w:rFonts w:cstheme="minorHAnsi"/>
        </w:rPr>
        <w:t xml:space="preserve"> -</w:t>
      </w:r>
      <w:r w:rsidR="00FE6F58">
        <w:t>Klientu dienas cenas pieaugums no 202</w:t>
      </w:r>
      <w:r w:rsidR="006541DE">
        <w:t>6</w:t>
      </w:r>
      <w:r w:rsidR="00FE6F58">
        <w:t xml:space="preserve">.gada 1.janvāra ilgstošas sociālās aprūpes un sociālās rehabilitācijas programmā par </w:t>
      </w:r>
      <w:r w:rsidR="00282777">
        <w:t>1.37</w:t>
      </w:r>
      <w:r w:rsidR="00FE6F58">
        <w:t xml:space="preserve">  euro  (no </w:t>
      </w:r>
      <w:r w:rsidR="00282777">
        <w:t>44.05</w:t>
      </w:r>
      <w:r w:rsidR="00FE6F58">
        <w:t xml:space="preserve"> uz </w:t>
      </w:r>
      <w:r w:rsidR="00282777">
        <w:t>45.42</w:t>
      </w:r>
      <w:r w:rsidR="00FE6F58">
        <w:t xml:space="preserve"> euro)</w:t>
      </w:r>
      <w:r w:rsidR="00E60246">
        <w:t>, kā arī rezidentu skaita pieaugums no 01.10.2025. (+7 rezidenti) un atsevišķu SAVA programmu</w:t>
      </w:r>
      <w:r w:rsidR="004832E6">
        <w:t xml:space="preserve"> īstenošana ( Dienas stacionārs, narkoloģija u.c.).</w:t>
      </w:r>
    </w:p>
    <w:p w14:paraId="64C34A4E" w14:textId="646EE6A2" w:rsidR="00CC2A17" w:rsidRDefault="00260E2C" w:rsidP="00FA2AE6">
      <w:pPr>
        <w:spacing w:before="100" w:beforeAutospacing="1" w:after="100" w:afterAutospacing="1"/>
        <w:jc w:val="both"/>
        <w:rPr>
          <w:rFonts w:cstheme="minorHAnsi"/>
        </w:rPr>
      </w:pPr>
      <w:r w:rsidRPr="003D07A2">
        <w:rPr>
          <w:rFonts w:cstheme="minorHAnsi"/>
        </w:rPr>
        <w:lastRenderedPageBreak/>
        <w:t xml:space="preserve">Sabiedrības pārskata perioda kopējie izdevumi ir vairāk kā </w:t>
      </w:r>
      <w:r w:rsidR="002F3DC7">
        <w:rPr>
          <w:rFonts w:cstheme="minorHAnsi"/>
        </w:rPr>
        <w:t>3.</w:t>
      </w:r>
      <w:r w:rsidR="003D44C2">
        <w:rPr>
          <w:rFonts w:cstheme="minorHAnsi"/>
        </w:rPr>
        <w:t>5</w:t>
      </w:r>
      <w:r w:rsidR="00910B1A">
        <w:rPr>
          <w:rFonts w:cstheme="minorHAnsi"/>
        </w:rPr>
        <w:t xml:space="preserve"> </w:t>
      </w:r>
      <w:r w:rsidRPr="003D07A2">
        <w:rPr>
          <w:rFonts w:cstheme="minorHAnsi"/>
        </w:rPr>
        <w:t>miljoni euro, salīdzinot ar 20</w:t>
      </w:r>
      <w:r w:rsidR="00781C1D">
        <w:rPr>
          <w:rFonts w:cstheme="minorHAnsi"/>
        </w:rPr>
        <w:t>2</w:t>
      </w:r>
      <w:r w:rsidR="003D44C2">
        <w:rPr>
          <w:rFonts w:cstheme="minorHAnsi"/>
        </w:rPr>
        <w:t>5</w:t>
      </w:r>
      <w:r w:rsidRPr="003D07A2">
        <w:rPr>
          <w:rFonts w:cstheme="minorHAnsi"/>
        </w:rPr>
        <w:t>.gad</w:t>
      </w:r>
      <w:r w:rsidR="00A2684F" w:rsidRPr="003D07A2">
        <w:rPr>
          <w:rFonts w:cstheme="minorHAnsi"/>
        </w:rPr>
        <w:t>u</w:t>
      </w:r>
      <w:r w:rsidR="00A822D5">
        <w:rPr>
          <w:rFonts w:cstheme="minorHAnsi"/>
        </w:rPr>
        <w:t xml:space="preserve"> </w:t>
      </w:r>
      <w:r w:rsidR="00910B1A">
        <w:rPr>
          <w:rFonts w:cstheme="minorHAnsi"/>
        </w:rPr>
        <w:t xml:space="preserve">tas ir par </w:t>
      </w:r>
      <w:r w:rsidR="003D44C2">
        <w:rPr>
          <w:rFonts w:cstheme="minorHAnsi"/>
        </w:rPr>
        <w:t>172 837</w:t>
      </w:r>
      <w:r w:rsidR="00BE1B7B">
        <w:rPr>
          <w:rFonts w:cstheme="minorHAnsi"/>
        </w:rPr>
        <w:t xml:space="preserve"> </w:t>
      </w:r>
      <w:r w:rsidR="00910B1A">
        <w:rPr>
          <w:rFonts w:cstheme="minorHAnsi"/>
        </w:rPr>
        <w:t>euro vairāk, bet pret</w:t>
      </w:r>
      <w:r w:rsidR="00A822D5">
        <w:rPr>
          <w:rFonts w:cstheme="minorHAnsi"/>
        </w:rPr>
        <w:t xml:space="preserve"> budžeta plānu</w:t>
      </w:r>
      <w:r w:rsidR="00BE1B7B">
        <w:rPr>
          <w:rFonts w:cstheme="minorHAnsi"/>
        </w:rPr>
        <w:t xml:space="preserve">- </w:t>
      </w:r>
      <w:r w:rsidRPr="003D07A2">
        <w:rPr>
          <w:rFonts w:cstheme="minorHAnsi"/>
        </w:rPr>
        <w:t xml:space="preserve">par </w:t>
      </w:r>
      <w:r w:rsidR="003D44C2">
        <w:rPr>
          <w:rFonts w:cstheme="minorHAnsi"/>
        </w:rPr>
        <w:t>54 816</w:t>
      </w:r>
      <w:r w:rsidRPr="003D07A2">
        <w:rPr>
          <w:rFonts w:cstheme="minorHAnsi"/>
        </w:rPr>
        <w:t xml:space="preserve"> euro </w:t>
      </w:r>
      <w:r w:rsidR="00886317">
        <w:rPr>
          <w:rFonts w:cstheme="minorHAnsi"/>
        </w:rPr>
        <w:t>mazāk</w:t>
      </w:r>
      <w:r w:rsidR="00A822D5">
        <w:rPr>
          <w:rFonts w:cstheme="minorHAnsi"/>
        </w:rPr>
        <w:t>.</w:t>
      </w:r>
      <w:r w:rsidR="004B467A">
        <w:rPr>
          <w:rFonts w:cstheme="minorHAnsi"/>
        </w:rPr>
        <w:t xml:space="preserve"> </w:t>
      </w:r>
    </w:p>
    <w:p w14:paraId="29C25485" w14:textId="154BC0F4" w:rsidR="007B12D7" w:rsidRPr="003D07A2" w:rsidRDefault="00587186" w:rsidP="00FA2AE6">
      <w:pPr>
        <w:spacing w:before="100" w:beforeAutospacing="1" w:after="100" w:afterAutospacing="1"/>
        <w:jc w:val="center"/>
        <w:rPr>
          <w:rFonts w:cstheme="minorHAnsi"/>
        </w:rPr>
      </w:pPr>
      <w:r w:rsidRPr="003D07A2">
        <w:rPr>
          <w:rFonts w:cstheme="minorHAnsi"/>
          <w:b/>
          <w:bCs/>
        </w:rPr>
        <w:t>Izdevumi</w:t>
      </w:r>
      <w:r w:rsidRPr="003D07A2">
        <w:rPr>
          <w:rFonts w:cstheme="minorHAnsi"/>
        </w:rPr>
        <w:t>, euro</w:t>
      </w:r>
    </w:p>
    <w:tbl>
      <w:tblPr>
        <w:tblStyle w:val="Reatabula"/>
        <w:tblW w:w="8495" w:type="dxa"/>
        <w:tblLook w:val="04A0" w:firstRow="1" w:lastRow="0" w:firstColumn="1" w:lastColumn="0" w:noHBand="0" w:noVBand="1"/>
      </w:tblPr>
      <w:tblGrid>
        <w:gridCol w:w="2388"/>
        <w:gridCol w:w="1155"/>
        <w:gridCol w:w="1362"/>
        <w:gridCol w:w="1327"/>
        <w:gridCol w:w="1134"/>
        <w:gridCol w:w="1129"/>
      </w:tblGrid>
      <w:tr w:rsidR="00F07DFF" w:rsidRPr="003D07A2" w14:paraId="04C8EDA7" w14:textId="77777777" w:rsidTr="00203EB6">
        <w:tc>
          <w:tcPr>
            <w:tcW w:w="2388" w:type="dxa"/>
            <w:vAlign w:val="center"/>
          </w:tcPr>
          <w:p w14:paraId="1F314710" w14:textId="77777777" w:rsidR="00F07DFF" w:rsidRPr="003D07A2" w:rsidRDefault="00F07DFF" w:rsidP="00F07DFF">
            <w:pPr>
              <w:jc w:val="center"/>
              <w:rPr>
                <w:rFonts w:cstheme="minorHAnsi"/>
              </w:rPr>
            </w:pPr>
            <w:r w:rsidRPr="003D07A2">
              <w:rPr>
                <w:rFonts w:cstheme="minorHAnsi"/>
              </w:rPr>
              <w:t>Galvenie izdevumu veidi</w:t>
            </w:r>
          </w:p>
        </w:tc>
        <w:tc>
          <w:tcPr>
            <w:tcW w:w="1155" w:type="dxa"/>
            <w:vAlign w:val="center"/>
          </w:tcPr>
          <w:p w14:paraId="1FB84EA4" w14:textId="523E4BB3" w:rsidR="00F07DFF" w:rsidRPr="003D07A2" w:rsidRDefault="00F07DFF" w:rsidP="00F07DFF">
            <w:pPr>
              <w:jc w:val="center"/>
              <w:rPr>
                <w:rFonts w:cstheme="minorHAnsi"/>
              </w:rPr>
            </w:pPr>
            <w:r w:rsidRPr="003D07A2">
              <w:rPr>
                <w:rFonts w:cstheme="minorHAnsi"/>
              </w:rPr>
              <w:t>202</w:t>
            </w:r>
            <w:r w:rsidR="003D44C2">
              <w:rPr>
                <w:rFonts w:cstheme="minorHAnsi"/>
              </w:rPr>
              <w:t>5</w:t>
            </w:r>
            <w:r w:rsidRPr="003D07A2">
              <w:rPr>
                <w:rFonts w:cstheme="minorHAnsi"/>
              </w:rPr>
              <w:t>.g. fakts</w:t>
            </w:r>
          </w:p>
        </w:tc>
        <w:tc>
          <w:tcPr>
            <w:tcW w:w="1362" w:type="dxa"/>
            <w:vAlign w:val="center"/>
          </w:tcPr>
          <w:p w14:paraId="07E6BFB8" w14:textId="3B4649D0" w:rsidR="00F07DFF" w:rsidRPr="003D07A2" w:rsidRDefault="00F07DFF" w:rsidP="00F07DFF">
            <w:pPr>
              <w:jc w:val="center"/>
              <w:rPr>
                <w:rFonts w:cstheme="minorHAnsi"/>
              </w:rPr>
            </w:pPr>
            <w:r w:rsidRPr="003D07A2">
              <w:rPr>
                <w:rFonts w:cstheme="minorHAnsi"/>
              </w:rPr>
              <w:t>202</w:t>
            </w:r>
            <w:r w:rsidR="003D44C2">
              <w:rPr>
                <w:rFonts w:cstheme="minorHAnsi"/>
              </w:rPr>
              <w:t>6</w:t>
            </w:r>
            <w:r w:rsidRPr="003D07A2">
              <w:rPr>
                <w:rFonts w:cstheme="minorHAnsi"/>
              </w:rPr>
              <w:t>.g. plāns</w:t>
            </w:r>
          </w:p>
        </w:tc>
        <w:tc>
          <w:tcPr>
            <w:tcW w:w="1327" w:type="dxa"/>
            <w:vAlign w:val="center"/>
          </w:tcPr>
          <w:p w14:paraId="3A55AA98" w14:textId="658275E5" w:rsidR="00F07DFF" w:rsidRPr="003D07A2" w:rsidRDefault="00F07DFF" w:rsidP="00F07DFF">
            <w:pPr>
              <w:jc w:val="center"/>
              <w:rPr>
                <w:rFonts w:cstheme="minorHAnsi"/>
              </w:rPr>
            </w:pPr>
            <w:r w:rsidRPr="003D07A2">
              <w:rPr>
                <w:rFonts w:cstheme="minorHAnsi"/>
              </w:rPr>
              <w:t>202</w:t>
            </w:r>
            <w:r w:rsidR="003D44C2">
              <w:rPr>
                <w:rFonts w:cstheme="minorHAnsi"/>
              </w:rPr>
              <w:t>6</w:t>
            </w:r>
            <w:r w:rsidRPr="003D07A2">
              <w:rPr>
                <w:rFonts w:cstheme="minorHAnsi"/>
              </w:rPr>
              <w:t>.g. fakts</w:t>
            </w:r>
          </w:p>
        </w:tc>
        <w:tc>
          <w:tcPr>
            <w:tcW w:w="1134" w:type="dxa"/>
            <w:vAlign w:val="center"/>
          </w:tcPr>
          <w:p w14:paraId="037E5E44" w14:textId="4F410873" w:rsidR="00F07DFF" w:rsidRPr="003D07A2" w:rsidRDefault="00F07DFF" w:rsidP="00F07DFF">
            <w:pPr>
              <w:jc w:val="center"/>
              <w:rPr>
                <w:rFonts w:cstheme="minorHAnsi"/>
              </w:rPr>
            </w:pPr>
            <w:r w:rsidRPr="003D07A2">
              <w:rPr>
                <w:rFonts w:cstheme="minorHAnsi"/>
              </w:rPr>
              <w:t>Novirze pret 20</w:t>
            </w:r>
            <w:r>
              <w:rPr>
                <w:rFonts w:cstheme="minorHAnsi"/>
              </w:rPr>
              <w:t>2</w:t>
            </w:r>
            <w:r w:rsidR="003D44C2">
              <w:rPr>
                <w:rFonts w:cstheme="minorHAnsi"/>
              </w:rPr>
              <w:t>5</w:t>
            </w:r>
            <w:r w:rsidRPr="003D07A2">
              <w:rPr>
                <w:rFonts w:cstheme="minorHAnsi"/>
              </w:rPr>
              <w:t>.g.</w:t>
            </w:r>
          </w:p>
        </w:tc>
        <w:tc>
          <w:tcPr>
            <w:tcW w:w="1129" w:type="dxa"/>
            <w:vAlign w:val="center"/>
          </w:tcPr>
          <w:p w14:paraId="21F31066" w14:textId="77777777" w:rsidR="00F07DFF" w:rsidRPr="003D07A2" w:rsidRDefault="00F07DFF" w:rsidP="00F07DFF">
            <w:pPr>
              <w:jc w:val="center"/>
              <w:rPr>
                <w:rFonts w:cstheme="minorHAnsi"/>
              </w:rPr>
            </w:pPr>
            <w:r w:rsidRPr="003D07A2">
              <w:rPr>
                <w:rFonts w:cstheme="minorHAnsi"/>
              </w:rPr>
              <w:t>Novirze pret plānu</w:t>
            </w:r>
          </w:p>
        </w:tc>
      </w:tr>
      <w:tr w:rsidR="003D44C2" w:rsidRPr="003D07A2" w14:paraId="4F7686DF" w14:textId="77777777" w:rsidTr="00203EB6">
        <w:tc>
          <w:tcPr>
            <w:tcW w:w="2388" w:type="dxa"/>
          </w:tcPr>
          <w:p w14:paraId="2B51D5EB" w14:textId="77777777" w:rsidR="003D44C2" w:rsidRPr="003D07A2" w:rsidRDefault="003D44C2" w:rsidP="003D44C2">
            <w:pPr>
              <w:rPr>
                <w:rFonts w:cstheme="minorHAnsi"/>
              </w:rPr>
            </w:pPr>
            <w:r w:rsidRPr="003D07A2">
              <w:rPr>
                <w:rFonts w:cstheme="minorHAnsi"/>
              </w:rPr>
              <w:t>Atalgojums</w:t>
            </w:r>
          </w:p>
        </w:tc>
        <w:tc>
          <w:tcPr>
            <w:tcW w:w="1155" w:type="dxa"/>
            <w:vAlign w:val="center"/>
          </w:tcPr>
          <w:p w14:paraId="2624C59D" w14:textId="4E1EBB53" w:rsidR="003D44C2" w:rsidRDefault="003D44C2" w:rsidP="003D44C2">
            <w:pPr>
              <w:jc w:val="center"/>
              <w:rPr>
                <w:rFonts w:cstheme="minorHAnsi"/>
              </w:rPr>
            </w:pPr>
            <w:r>
              <w:rPr>
                <w:rFonts w:cstheme="minorHAnsi"/>
              </w:rPr>
              <w:t>2 184 137</w:t>
            </w:r>
          </w:p>
        </w:tc>
        <w:tc>
          <w:tcPr>
            <w:tcW w:w="1362" w:type="dxa"/>
            <w:vAlign w:val="center"/>
          </w:tcPr>
          <w:p w14:paraId="73BDF3E0" w14:textId="6FA1C97B" w:rsidR="003D44C2" w:rsidRPr="003D07A2" w:rsidRDefault="00816F4B" w:rsidP="003D44C2">
            <w:pPr>
              <w:jc w:val="center"/>
              <w:rPr>
                <w:rFonts w:cstheme="minorHAnsi"/>
              </w:rPr>
            </w:pPr>
            <w:r>
              <w:rPr>
                <w:rFonts w:cstheme="minorHAnsi"/>
              </w:rPr>
              <w:t>2 327 072</w:t>
            </w:r>
          </w:p>
        </w:tc>
        <w:tc>
          <w:tcPr>
            <w:tcW w:w="1327" w:type="dxa"/>
            <w:vAlign w:val="center"/>
          </w:tcPr>
          <w:p w14:paraId="5941DAF9" w14:textId="62814FE5" w:rsidR="003D44C2" w:rsidRPr="003D07A2" w:rsidRDefault="00816F4B" w:rsidP="003D44C2">
            <w:pPr>
              <w:jc w:val="center"/>
              <w:rPr>
                <w:rFonts w:cstheme="minorHAnsi"/>
              </w:rPr>
            </w:pPr>
            <w:r>
              <w:rPr>
                <w:rFonts w:cstheme="minorHAnsi"/>
              </w:rPr>
              <w:t>2 245 689</w:t>
            </w:r>
          </w:p>
        </w:tc>
        <w:tc>
          <w:tcPr>
            <w:tcW w:w="1134" w:type="dxa"/>
            <w:vAlign w:val="center"/>
          </w:tcPr>
          <w:p w14:paraId="4E7A7360" w14:textId="7FC8B13E" w:rsidR="003D44C2" w:rsidRPr="003D07A2" w:rsidRDefault="006F56DD" w:rsidP="003D44C2">
            <w:pPr>
              <w:jc w:val="center"/>
              <w:rPr>
                <w:rFonts w:cstheme="minorHAnsi"/>
              </w:rPr>
            </w:pPr>
            <w:r>
              <w:rPr>
                <w:rFonts w:cstheme="minorHAnsi"/>
              </w:rPr>
              <w:t>+61 552</w:t>
            </w:r>
          </w:p>
        </w:tc>
        <w:tc>
          <w:tcPr>
            <w:tcW w:w="1129" w:type="dxa"/>
            <w:vAlign w:val="center"/>
          </w:tcPr>
          <w:p w14:paraId="4AA8F973" w14:textId="4FBF1BB5" w:rsidR="003D44C2" w:rsidRPr="003D07A2" w:rsidRDefault="003D44C2" w:rsidP="003D44C2">
            <w:pPr>
              <w:jc w:val="center"/>
              <w:rPr>
                <w:rFonts w:cstheme="minorHAnsi"/>
              </w:rPr>
            </w:pPr>
            <w:r>
              <w:rPr>
                <w:rFonts w:cstheme="minorHAnsi"/>
              </w:rPr>
              <w:t>-</w:t>
            </w:r>
            <w:r w:rsidR="00816F4B">
              <w:rPr>
                <w:rFonts w:cstheme="minorHAnsi"/>
              </w:rPr>
              <w:t>81 383</w:t>
            </w:r>
          </w:p>
        </w:tc>
      </w:tr>
      <w:tr w:rsidR="003D44C2" w:rsidRPr="003D07A2" w14:paraId="6AD30082" w14:textId="77777777" w:rsidTr="00203EB6">
        <w:tc>
          <w:tcPr>
            <w:tcW w:w="2388" w:type="dxa"/>
          </w:tcPr>
          <w:p w14:paraId="1120E78A" w14:textId="77777777" w:rsidR="003D44C2" w:rsidRPr="003D07A2" w:rsidRDefault="003D44C2" w:rsidP="003D44C2">
            <w:pPr>
              <w:rPr>
                <w:rFonts w:cstheme="minorHAnsi"/>
              </w:rPr>
            </w:pPr>
            <w:r w:rsidRPr="003D07A2">
              <w:rPr>
                <w:rFonts w:cstheme="minorHAnsi"/>
              </w:rPr>
              <w:t>Darba devēja valsts sociālās apdrošināšanas obligātās iemaksas, slimības nauda u.c.</w:t>
            </w:r>
          </w:p>
        </w:tc>
        <w:tc>
          <w:tcPr>
            <w:tcW w:w="1155" w:type="dxa"/>
            <w:vAlign w:val="center"/>
          </w:tcPr>
          <w:p w14:paraId="121B73E9" w14:textId="3E6E2532" w:rsidR="003D44C2" w:rsidRDefault="003D44C2" w:rsidP="003D44C2">
            <w:pPr>
              <w:jc w:val="center"/>
              <w:rPr>
                <w:rFonts w:cstheme="minorHAnsi"/>
              </w:rPr>
            </w:pPr>
            <w:r>
              <w:rPr>
                <w:rFonts w:cstheme="minorHAnsi"/>
              </w:rPr>
              <w:t>572 083</w:t>
            </w:r>
          </w:p>
        </w:tc>
        <w:tc>
          <w:tcPr>
            <w:tcW w:w="1362" w:type="dxa"/>
            <w:vAlign w:val="center"/>
          </w:tcPr>
          <w:p w14:paraId="031BB68D" w14:textId="1D657BD7" w:rsidR="003D44C2" w:rsidRPr="003D07A2" w:rsidRDefault="006F56DD" w:rsidP="003D44C2">
            <w:pPr>
              <w:jc w:val="center"/>
              <w:rPr>
                <w:rFonts w:cstheme="minorHAnsi"/>
              </w:rPr>
            </w:pPr>
            <w:r>
              <w:rPr>
                <w:rFonts w:cstheme="minorHAnsi"/>
              </w:rPr>
              <w:t>608 027</w:t>
            </w:r>
          </w:p>
        </w:tc>
        <w:tc>
          <w:tcPr>
            <w:tcW w:w="1327" w:type="dxa"/>
            <w:vAlign w:val="center"/>
          </w:tcPr>
          <w:p w14:paraId="5936FB3D" w14:textId="0EA607DC" w:rsidR="003D44C2" w:rsidRPr="003D07A2" w:rsidRDefault="006F56DD" w:rsidP="003D44C2">
            <w:pPr>
              <w:jc w:val="center"/>
              <w:rPr>
                <w:rFonts w:cstheme="minorHAnsi"/>
              </w:rPr>
            </w:pPr>
            <w:r>
              <w:rPr>
                <w:rFonts w:cstheme="minorHAnsi"/>
              </w:rPr>
              <w:t>593 450</w:t>
            </w:r>
          </w:p>
        </w:tc>
        <w:tc>
          <w:tcPr>
            <w:tcW w:w="1134" w:type="dxa"/>
            <w:vAlign w:val="center"/>
          </w:tcPr>
          <w:p w14:paraId="2D513FF6" w14:textId="58645611" w:rsidR="003D44C2" w:rsidRPr="003D07A2" w:rsidRDefault="003D44C2" w:rsidP="003D44C2">
            <w:pPr>
              <w:jc w:val="center"/>
              <w:rPr>
                <w:rFonts w:cstheme="minorHAnsi"/>
              </w:rPr>
            </w:pPr>
            <w:r>
              <w:rPr>
                <w:rFonts w:cstheme="minorHAnsi"/>
              </w:rPr>
              <w:t>+</w:t>
            </w:r>
            <w:r w:rsidR="002B2352">
              <w:rPr>
                <w:rFonts w:cstheme="minorHAnsi"/>
              </w:rPr>
              <w:t>21 367</w:t>
            </w:r>
          </w:p>
        </w:tc>
        <w:tc>
          <w:tcPr>
            <w:tcW w:w="1129" w:type="dxa"/>
            <w:vAlign w:val="center"/>
          </w:tcPr>
          <w:p w14:paraId="210F80F5" w14:textId="277830D9" w:rsidR="003D44C2" w:rsidRPr="003D07A2" w:rsidRDefault="006F56DD" w:rsidP="003D44C2">
            <w:pPr>
              <w:jc w:val="center"/>
              <w:rPr>
                <w:rFonts w:cstheme="minorHAnsi"/>
              </w:rPr>
            </w:pPr>
            <w:r>
              <w:rPr>
                <w:rFonts w:cstheme="minorHAnsi"/>
              </w:rPr>
              <w:t>-14 577</w:t>
            </w:r>
          </w:p>
        </w:tc>
      </w:tr>
      <w:tr w:rsidR="003D44C2" w:rsidRPr="003D07A2" w14:paraId="5819F5E3" w14:textId="77777777" w:rsidTr="00203EB6">
        <w:tc>
          <w:tcPr>
            <w:tcW w:w="2388" w:type="dxa"/>
          </w:tcPr>
          <w:p w14:paraId="3BC75C56" w14:textId="77777777" w:rsidR="003D44C2" w:rsidRPr="003D07A2" w:rsidRDefault="003D44C2" w:rsidP="003D44C2">
            <w:pPr>
              <w:rPr>
                <w:rFonts w:cstheme="minorHAnsi"/>
              </w:rPr>
            </w:pPr>
            <w:r w:rsidRPr="003D07A2">
              <w:rPr>
                <w:rFonts w:cstheme="minorHAnsi"/>
              </w:rPr>
              <w:t>Pakalpojumi</w:t>
            </w:r>
          </w:p>
        </w:tc>
        <w:tc>
          <w:tcPr>
            <w:tcW w:w="1155" w:type="dxa"/>
            <w:vAlign w:val="center"/>
          </w:tcPr>
          <w:p w14:paraId="61FE5A91" w14:textId="693886EB" w:rsidR="003D44C2" w:rsidRDefault="003D44C2" w:rsidP="003D44C2">
            <w:pPr>
              <w:jc w:val="center"/>
              <w:rPr>
                <w:rFonts w:cstheme="minorHAnsi"/>
              </w:rPr>
            </w:pPr>
            <w:r>
              <w:rPr>
                <w:rFonts w:cstheme="minorHAnsi"/>
              </w:rPr>
              <w:t>236 444</w:t>
            </w:r>
          </w:p>
        </w:tc>
        <w:tc>
          <w:tcPr>
            <w:tcW w:w="1362" w:type="dxa"/>
            <w:vAlign w:val="center"/>
          </w:tcPr>
          <w:p w14:paraId="0481039F" w14:textId="261AC183" w:rsidR="003D44C2" w:rsidRPr="003D07A2" w:rsidRDefault="002B2352" w:rsidP="003D44C2">
            <w:pPr>
              <w:jc w:val="center"/>
              <w:rPr>
                <w:rFonts w:cstheme="minorHAnsi"/>
              </w:rPr>
            </w:pPr>
            <w:r>
              <w:rPr>
                <w:rFonts w:cstheme="minorHAnsi"/>
              </w:rPr>
              <w:t>271 910</w:t>
            </w:r>
          </w:p>
        </w:tc>
        <w:tc>
          <w:tcPr>
            <w:tcW w:w="1327" w:type="dxa"/>
            <w:vAlign w:val="center"/>
          </w:tcPr>
          <w:p w14:paraId="64749099" w14:textId="564E12B2" w:rsidR="003D44C2" w:rsidRPr="003D07A2" w:rsidRDefault="002B2352" w:rsidP="003D44C2">
            <w:pPr>
              <w:jc w:val="center"/>
              <w:rPr>
                <w:rFonts w:cstheme="minorHAnsi"/>
              </w:rPr>
            </w:pPr>
            <w:r>
              <w:rPr>
                <w:rFonts w:cstheme="minorHAnsi"/>
              </w:rPr>
              <w:t>281 638</w:t>
            </w:r>
          </w:p>
        </w:tc>
        <w:tc>
          <w:tcPr>
            <w:tcW w:w="1134" w:type="dxa"/>
            <w:vAlign w:val="center"/>
          </w:tcPr>
          <w:p w14:paraId="66DC335E" w14:textId="3DC8C1FA" w:rsidR="003D44C2" w:rsidRPr="003D07A2" w:rsidRDefault="002E64DC" w:rsidP="003D44C2">
            <w:pPr>
              <w:jc w:val="center"/>
              <w:rPr>
                <w:rFonts w:cstheme="minorHAnsi"/>
              </w:rPr>
            </w:pPr>
            <w:r>
              <w:rPr>
                <w:rFonts w:cstheme="minorHAnsi"/>
              </w:rPr>
              <w:t>+45 194</w:t>
            </w:r>
          </w:p>
        </w:tc>
        <w:tc>
          <w:tcPr>
            <w:tcW w:w="1129" w:type="dxa"/>
            <w:vAlign w:val="center"/>
          </w:tcPr>
          <w:p w14:paraId="28AB8BAB" w14:textId="34B25E73" w:rsidR="003D44C2" w:rsidRPr="003D07A2" w:rsidRDefault="002B2352" w:rsidP="003D44C2">
            <w:pPr>
              <w:jc w:val="center"/>
              <w:rPr>
                <w:rFonts w:cstheme="minorHAnsi"/>
              </w:rPr>
            </w:pPr>
            <w:r>
              <w:rPr>
                <w:rFonts w:cstheme="minorHAnsi"/>
              </w:rPr>
              <w:t>+9728</w:t>
            </w:r>
          </w:p>
        </w:tc>
      </w:tr>
      <w:tr w:rsidR="003D44C2" w:rsidRPr="003D07A2" w14:paraId="7362D1BC" w14:textId="77777777" w:rsidTr="00203EB6">
        <w:tc>
          <w:tcPr>
            <w:tcW w:w="2388" w:type="dxa"/>
          </w:tcPr>
          <w:p w14:paraId="76FAEC57" w14:textId="77777777" w:rsidR="003D44C2" w:rsidRPr="003D07A2" w:rsidRDefault="003D44C2" w:rsidP="003D44C2">
            <w:pPr>
              <w:rPr>
                <w:rFonts w:cstheme="minorHAnsi"/>
              </w:rPr>
            </w:pPr>
            <w:r w:rsidRPr="003D07A2">
              <w:rPr>
                <w:rFonts w:cstheme="minorHAnsi"/>
              </w:rPr>
              <w:t>Medikamenti, medicīnas preces, dezinfekcijas līdzekļi</w:t>
            </w:r>
          </w:p>
        </w:tc>
        <w:tc>
          <w:tcPr>
            <w:tcW w:w="1155" w:type="dxa"/>
            <w:vAlign w:val="center"/>
          </w:tcPr>
          <w:p w14:paraId="04A621E6" w14:textId="73EF834A" w:rsidR="003D44C2" w:rsidRDefault="003D44C2" w:rsidP="003D44C2">
            <w:pPr>
              <w:jc w:val="center"/>
              <w:rPr>
                <w:rFonts w:cstheme="minorHAnsi"/>
              </w:rPr>
            </w:pPr>
            <w:r>
              <w:rPr>
                <w:rFonts w:cstheme="minorHAnsi"/>
              </w:rPr>
              <w:t>71 867</w:t>
            </w:r>
          </w:p>
        </w:tc>
        <w:tc>
          <w:tcPr>
            <w:tcW w:w="1362" w:type="dxa"/>
            <w:vAlign w:val="center"/>
          </w:tcPr>
          <w:p w14:paraId="0CB87018" w14:textId="4E9605E4" w:rsidR="003D44C2" w:rsidRPr="003D07A2" w:rsidRDefault="003D44C2" w:rsidP="003D44C2">
            <w:pPr>
              <w:jc w:val="center"/>
              <w:rPr>
                <w:rFonts w:cstheme="minorHAnsi"/>
              </w:rPr>
            </w:pPr>
            <w:r>
              <w:rPr>
                <w:rFonts w:cstheme="minorHAnsi"/>
              </w:rPr>
              <w:t xml:space="preserve">74 </w:t>
            </w:r>
            <w:r w:rsidR="002E64DC">
              <w:rPr>
                <w:rFonts w:cstheme="minorHAnsi"/>
              </w:rPr>
              <w:t>788</w:t>
            </w:r>
          </w:p>
        </w:tc>
        <w:tc>
          <w:tcPr>
            <w:tcW w:w="1327" w:type="dxa"/>
            <w:vAlign w:val="center"/>
          </w:tcPr>
          <w:p w14:paraId="1AB10B68" w14:textId="687A58BA" w:rsidR="003D44C2" w:rsidRPr="003D07A2" w:rsidRDefault="002E64DC" w:rsidP="003D44C2">
            <w:pPr>
              <w:jc w:val="center"/>
              <w:rPr>
                <w:rFonts w:cstheme="minorHAnsi"/>
              </w:rPr>
            </w:pPr>
            <w:r>
              <w:rPr>
                <w:rFonts w:cstheme="minorHAnsi"/>
              </w:rPr>
              <w:t>80 312</w:t>
            </w:r>
          </w:p>
        </w:tc>
        <w:tc>
          <w:tcPr>
            <w:tcW w:w="1134" w:type="dxa"/>
            <w:vAlign w:val="center"/>
          </w:tcPr>
          <w:p w14:paraId="150F6196" w14:textId="5DA0EF47" w:rsidR="003D44C2" w:rsidRPr="003D07A2" w:rsidRDefault="003D44C2" w:rsidP="003D44C2">
            <w:pPr>
              <w:jc w:val="center"/>
              <w:rPr>
                <w:rFonts w:cstheme="minorHAnsi"/>
              </w:rPr>
            </w:pPr>
            <w:r>
              <w:rPr>
                <w:rFonts w:cstheme="minorHAnsi"/>
              </w:rPr>
              <w:t>+</w:t>
            </w:r>
            <w:r w:rsidR="002E64DC">
              <w:rPr>
                <w:rFonts w:cstheme="minorHAnsi"/>
              </w:rPr>
              <w:t>8445</w:t>
            </w:r>
          </w:p>
        </w:tc>
        <w:tc>
          <w:tcPr>
            <w:tcW w:w="1129" w:type="dxa"/>
            <w:vAlign w:val="center"/>
          </w:tcPr>
          <w:p w14:paraId="0A1F71F1" w14:textId="2C674082" w:rsidR="003D44C2" w:rsidRPr="003D07A2" w:rsidRDefault="002E64DC" w:rsidP="003D44C2">
            <w:pPr>
              <w:jc w:val="center"/>
              <w:rPr>
                <w:rFonts w:cstheme="minorHAnsi"/>
              </w:rPr>
            </w:pPr>
            <w:r>
              <w:rPr>
                <w:rFonts w:cstheme="minorHAnsi"/>
              </w:rPr>
              <w:t>+5524</w:t>
            </w:r>
          </w:p>
        </w:tc>
      </w:tr>
      <w:tr w:rsidR="003D44C2" w:rsidRPr="003D07A2" w14:paraId="70D24B67" w14:textId="77777777" w:rsidTr="00203EB6">
        <w:tc>
          <w:tcPr>
            <w:tcW w:w="2388" w:type="dxa"/>
          </w:tcPr>
          <w:p w14:paraId="3115196D" w14:textId="77777777" w:rsidR="003D44C2" w:rsidRPr="003D07A2" w:rsidRDefault="003D44C2" w:rsidP="003D44C2">
            <w:pPr>
              <w:rPr>
                <w:rFonts w:cstheme="minorHAnsi"/>
              </w:rPr>
            </w:pPr>
            <w:r w:rsidRPr="003D07A2">
              <w:rPr>
                <w:rFonts w:cstheme="minorHAnsi"/>
              </w:rPr>
              <w:t>Pārtikas produkti</w:t>
            </w:r>
          </w:p>
        </w:tc>
        <w:tc>
          <w:tcPr>
            <w:tcW w:w="1155" w:type="dxa"/>
            <w:vAlign w:val="center"/>
          </w:tcPr>
          <w:p w14:paraId="027266DB" w14:textId="1DA07816" w:rsidR="003D44C2" w:rsidRDefault="003D44C2" w:rsidP="003D44C2">
            <w:pPr>
              <w:jc w:val="center"/>
              <w:rPr>
                <w:rFonts w:cstheme="minorHAnsi"/>
              </w:rPr>
            </w:pPr>
            <w:r>
              <w:rPr>
                <w:rFonts w:cstheme="minorHAnsi"/>
              </w:rPr>
              <w:t>105 258</w:t>
            </w:r>
          </w:p>
        </w:tc>
        <w:tc>
          <w:tcPr>
            <w:tcW w:w="1362" w:type="dxa"/>
            <w:vAlign w:val="center"/>
          </w:tcPr>
          <w:p w14:paraId="0B78683A" w14:textId="17395E2B" w:rsidR="003D44C2" w:rsidRPr="003D07A2" w:rsidRDefault="002E64DC" w:rsidP="003D44C2">
            <w:pPr>
              <w:jc w:val="center"/>
              <w:rPr>
                <w:rFonts w:cstheme="minorHAnsi"/>
              </w:rPr>
            </w:pPr>
            <w:r>
              <w:rPr>
                <w:rFonts w:cstheme="minorHAnsi"/>
              </w:rPr>
              <w:t>112 102</w:t>
            </w:r>
          </w:p>
        </w:tc>
        <w:tc>
          <w:tcPr>
            <w:tcW w:w="1327" w:type="dxa"/>
            <w:vAlign w:val="center"/>
          </w:tcPr>
          <w:p w14:paraId="25433EAE" w14:textId="4E78EB0C" w:rsidR="003D44C2" w:rsidRPr="003D07A2" w:rsidRDefault="002E64DC" w:rsidP="003D44C2">
            <w:pPr>
              <w:jc w:val="center"/>
              <w:rPr>
                <w:rFonts w:cstheme="minorHAnsi"/>
              </w:rPr>
            </w:pPr>
            <w:r>
              <w:rPr>
                <w:rFonts w:cstheme="minorHAnsi"/>
              </w:rPr>
              <w:t>110 138</w:t>
            </w:r>
          </w:p>
        </w:tc>
        <w:tc>
          <w:tcPr>
            <w:tcW w:w="1134" w:type="dxa"/>
            <w:vAlign w:val="center"/>
          </w:tcPr>
          <w:p w14:paraId="1FC8693D" w14:textId="6EFAE3E9" w:rsidR="003D44C2" w:rsidRPr="003D07A2" w:rsidRDefault="003D44C2" w:rsidP="003D44C2">
            <w:pPr>
              <w:jc w:val="center"/>
              <w:rPr>
                <w:rFonts w:cstheme="minorHAnsi"/>
              </w:rPr>
            </w:pPr>
            <w:r>
              <w:rPr>
                <w:rFonts w:cstheme="minorHAnsi"/>
              </w:rPr>
              <w:t>+</w:t>
            </w:r>
            <w:r w:rsidR="002E64DC">
              <w:rPr>
                <w:rFonts w:cstheme="minorHAnsi"/>
              </w:rPr>
              <w:t>4880</w:t>
            </w:r>
          </w:p>
        </w:tc>
        <w:tc>
          <w:tcPr>
            <w:tcW w:w="1129" w:type="dxa"/>
            <w:vAlign w:val="center"/>
          </w:tcPr>
          <w:p w14:paraId="6679FC56" w14:textId="7CA153E2" w:rsidR="003D44C2" w:rsidRPr="003D07A2" w:rsidRDefault="003D44C2" w:rsidP="003D44C2">
            <w:pPr>
              <w:jc w:val="center"/>
              <w:rPr>
                <w:rFonts w:cstheme="minorHAnsi"/>
              </w:rPr>
            </w:pPr>
            <w:r>
              <w:rPr>
                <w:rFonts w:cstheme="minorHAnsi"/>
              </w:rPr>
              <w:t>-</w:t>
            </w:r>
            <w:r w:rsidR="002E64DC">
              <w:rPr>
                <w:rFonts w:cstheme="minorHAnsi"/>
              </w:rPr>
              <w:t>1964</w:t>
            </w:r>
          </w:p>
        </w:tc>
      </w:tr>
      <w:tr w:rsidR="003D44C2" w:rsidRPr="003D07A2" w14:paraId="34D0448B" w14:textId="77777777" w:rsidTr="00203EB6">
        <w:tc>
          <w:tcPr>
            <w:tcW w:w="2388" w:type="dxa"/>
          </w:tcPr>
          <w:p w14:paraId="4EA3984B" w14:textId="77777777" w:rsidR="003D44C2" w:rsidRPr="003D07A2" w:rsidRDefault="003D44C2" w:rsidP="003D44C2">
            <w:pPr>
              <w:rPr>
                <w:rFonts w:cstheme="minorHAnsi"/>
              </w:rPr>
            </w:pPr>
            <w:r w:rsidRPr="003D07A2">
              <w:rPr>
                <w:rFonts w:cstheme="minorHAnsi"/>
              </w:rPr>
              <w:t>Preču un materiālu iegāde</w:t>
            </w:r>
          </w:p>
        </w:tc>
        <w:tc>
          <w:tcPr>
            <w:tcW w:w="1155" w:type="dxa"/>
            <w:vAlign w:val="center"/>
          </w:tcPr>
          <w:p w14:paraId="5368FAFB" w14:textId="12C64F1F" w:rsidR="003D44C2" w:rsidRDefault="003D44C2" w:rsidP="003D44C2">
            <w:pPr>
              <w:jc w:val="center"/>
              <w:rPr>
                <w:rFonts w:cstheme="minorHAnsi"/>
              </w:rPr>
            </w:pPr>
            <w:r>
              <w:rPr>
                <w:rFonts w:cstheme="minorHAnsi"/>
              </w:rPr>
              <w:t>46 731</w:t>
            </w:r>
          </w:p>
        </w:tc>
        <w:tc>
          <w:tcPr>
            <w:tcW w:w="1362" w:type="dxa"/>
            <w:vAlign w:val="center"/>
          </w:tcPr>
          <w:p w14:paraId="71F0A72A" w14:textId="57A9027E" w:rsidR="003D44C2" w:rsidRPr="003D07A2" w:rsidRDefault="002E64DC" w:rsidP="003D44C2">
            <w:pPr>
              <w:jc w:val="center"/>
              <w:rPr>
                <w:rFonts w:cstheme="minorHAnsi"/>
              </w:rPr>
            </w:pPr>
            <w:r>
              <w:rPr>
                <w:rFonts w:cstheme="minorHAnsi"/>
              </w:rPr>
              <w:t>48 745</w:t>
            </w:r>
          </w:p>
        </w:tc>
        <w:tc>
          <w:tcPr>
            <w:tcW w:w="1327" w:type="dxa"/>
            <w:vAlign w:val="center"/>
          </w:tcPr>
          <w:p w14:paraId="3849EA2C" w14:textId="17CC5019" w:rsidR="003D44C2" w:rsidRPr="003D07A2" w:rsidRDefault="002E64DC" w:rsidP="003D44C2">
            <w:pPr>
              <w:jc w:val="center"/>
              <w:rPr>
                <w:rFonts w:cstheme="minorHAnsi"/>
              </w:rPr>
            </w:pPr>
            <w:r>
              <w:rPr>
                <w:rFonts w:cstheme="minorHAnsi"/>
              </w:rPr>
              <w:t>72 854</w:t>
            </w:r>
          </w:p>
        </w:tc>
        <w:tc>
          <w:tcPr>
            <w:tcW w:w="1134" w:type="dxa"/>
            <w:vAlign w:val="center"/>
          </w:tcPr>
          <w:p w14:paraId="06A973D4" w14:textId="4479A663" w:rsidR="003D44C2" w:rsidRPr="003D07A2" w:rsidRDefault="002E64DC" w:rsidP="003D44C2">
            <w:pPr>
              <w:jc w:val="center"/>
              <w:rPr>
                <w:rFonts w:cstheme="minorHAnsi"/>
              </w:rPr>
            </w:pPr>
            <w:r>
              <w:rPr>
                <w:rFonts w:cstheme="minorHAnsi"/>
              </w:rPr>
              <w:t>+26 123</w:t>
            </w:r>
          </w:p>
        </w:tc>
        <w:tc>
          <w:tcPr>
            <w:tcW w:w="1129" w:type="dxa"/>
            <w:vAlign w:val="center"/>
          </w:tcPr>
          <w:p w14:paraId="2DCD3753" w14:textId="6DBEC55D" w:rsidR="003D44C2" w:rsidRPr="003D07A2" w:rsidRDefault="002E64DC" w:rsidP="003D44C2">
            <w:pPr>
              <w:jc w:val="center"/>
              <w:rPr>
                <w:rFonts w:cstheme="minorHAnsi"/>
              </w:rPr>
            </w:pPr>
            <w:r>
              <w:rPr>
                <w:rFonts w:cstheme="minorHAnsi"/>
              </w:rPr>
              <w:t>+24 109</w:t>
            </w:r>
          </w:p>
        </w:tc>
      </w:tr>
      <w:tr w:rsidR="003D44C2" w:rsidRPr="003D07A2" w14:paraId="5EF22AB4" w14:textId="77777777" w:rsidTr="00203EB6">
        <w:tc>
          <w:tcPr>
            <w:tcW w:w="2388" w:type="dxa"/>
          </w:tcPr>
          <w:p w14:paraId="34E256B9" w14:textId="77777777" w:rsidR="003D44C2" w:rsidRPr="003D07A2" w:rsidRDefault="003D44C2" w:rsidP="003D44C2">
            <w:pPr>
              <w:rPr>
                <w:rFonts w:cstheme="minorHAnsi"/>
              </w:rPr>
            </w:pPr>
            <w:r w:rsidRPr="003D07A2">
              <w:rPr>
                <w:rFonts w:cstheme="minorHAnsi"/>
              </w:rPr>
              <w:t>Ilgtermiņa ieguldījumu nolietojums</w:t>
            </w:r>
          </w:p>
        </w:tc>
        <w:tc>
          <w:tcPr>
            <w:tcW w:w="1155" w:type="dxa"/>
            <w:vAlign w:val="center"/>
          </w:tcPr>
          <w:p w14:paraId="0AF13D42" w14:textId="1E785633" w:rsidR="003D44C2" w:rsidRDefault="003D44C2" w:rsidP="003D44C2">
            <w:pPr>
              <w:jc w:val="center"/>
              <w:rPr>
                <w:rFonts w:cstheme="minorHAnsi"/>
              </w:rPr>
            </w:pPr>
            <w:r>
              <w:rPr>
                <w:rFonts w:cstheme="minorHAnsi"/>
              </w:rPr>
              <w:t>73 717</w:t>
            </w:r>
          </w:p>
        </w:tc>
        <w:tc>
          <w:tcPr>
            <w:tcW w:w="1362" w:type="dxa"/>
            <w:vAlign w:val="center"/>
          </w:tcPr>
          <w:p w14:paraId="45B52358" w14:textId="73A56ED5" w:rsidR="003D44C2" w:rsidRPr="003D07A2" w:rsidRDefault="00FE437E" w:rsidP="003D44C2">
            <w:pPr>
              <w:jc w:val="center"/>
              <w:rPr>
                <w:rFonts w:cstheme="minorHAnsi"/>
              </w:rPr>
            </w:pPr>
            <w:r>
              <w:rPr>
                <w:rFonts w:cstheme="minorHAnsi"/>
              </w:rPr>
              <w:t>76 994</w:t>
            </w:r>
          </w:p>
        </w:tc>
        <w:tc>
          <w:tcPr>
            <w:tcW w:w="1327" w:type="dxa"/>
            <w:vAlign w:val="center"/>
          </w:tcPr>
          <w:p w14:paraId="5119C7DA" w14:textId="1B22C101" w:rsidR="003D44C2" w:rsidRPr="003D07A2" w:rsidRDefault="00FE437E" w:rsidP="003D44C2">
            <w:pPr>
              <w:jc w:val="center"/>
              <w:rPr>
                <w:rFonts w:cstheme="minorHAnsi"/>
              </w:rPr>
            </w:pPr>
            <w:r>
              <w:rPr>
                <w:rFonts w:cstheme="minorHAnsi"/>
              </w:rPr>
              <w:t>79 057</w:t>
            </w:r>
          </w:p>
        </w:tc>
        <w:tc>
          <w:tcPr>
            <w:tcW w:w="1134" w:type="dxa"/>
            <w:vAlign w:val="center"/>
          </w:tcPr>
          <w:p w14:paraId="6514CAB6" w14:textId="00B227CD" w:rsidR="003D44C2" w:rsidRPr="003D07A2" w:rsidRDefault="003D44C2" w:rsidP="003D44C2">
            <w:pPr>
              <w:jc w:val="center"/>
              <w:rPr>
                <w:rFonts w:cstheme="minorHAnsi"/>
              </w:rPr>
            </w:pPr>
            <w:r>
              <w:rPr>
                <w:rFonts w:cstheme="minorHAnsi"/>
              </w:rPr>
              <w:t>+</w:t>
            </w:r>
            <w:r w:rsidR="002E6569">
              <w:rPr>
                <w:rFonts w:cstheme="minorHAnsi"/>
              </w:rPr>
              <w:t>5340</w:t>
            </w:r>
          </w:p>
        </w:tc>
        <w:tc>
          <w:tcPr>
            <w:tcW w:w="1129" w:type="dxa"/>
            <w:vAlign w:val="center"/>
          </w:tcPr>
          <w:p w14:paraId="69B1A41F" w14:textId="4C3E56B5" w:rsidR="003D44C2" w:rsidRPr="003D07A2" w:rsidRDefault="003D44C2" w:rsidP="003D44C2">
            <w:pPr>
              <w:jc w:val="center"/>
              <w:rPr>
                <w:rFonts w:cstheme="minorHAnsi"/>
              </w:rPr>
            </w:pPr>
            <w:r>
              <w:rPr>
                <w:rFonts w:cstheme="minorHAnsi"/>
              </w:rPr>
              <w:t>+</w:t>
            </w:r>
            <w:r w:rsidR="00FE437E">
              <w:rPr>
                <w:rFonts w:cstheme="minorHAnsi"/>
              </w:rPr>
              <w:t>2063</w:t>
            </w:r>
          </w:p>
        </w:tc>
      </w:tr>
    </w:tbl>
    <w:p w14:paraId="497D92BF" w14:textId="6EA5F87C" w:rsidR="0017458F" w:rsidRDefault="00EE3346" w:rsidP="0017458F">
      <w:pPr>
        <w:jc w:val="both"/>
        <w:rPr>
          <w:rFonts w:cstheme="minorHAnsi"/>
        </w:rPr>
      </w:pPr>
      <w:r w:rsidRPr="0017458F">
        <w:rPr>
          <w:rFonts w:cstheme="minorHAnsi"/>
        </w:rPr>
        <w:t>Pārskata periodā, salīdzinot ar iepriek</w:t>
      </w:r>
      <w:r w:rsidR="00CE24D4" w:rsidRPr="0017458F">
        <w:rPr>
          <w:rFonts w:cstheme="minorHAnsi"/>
        </w:rPr>
        <w:t>šē</w:t>
      </w:r>
      <w:r w:rsidRPr="0017458F">
        <w:rPr>
          <w:rFonts w:cstheme="minorHAnsi"/>
        </w:rPr>
        <w:t>jo gadu</w:t>
      </w:r>
      <w:r w:rsidR="00CE24D4" w:rsidRPr="0017458F">
        <w:rPr>
          <w:rFonts w:cstheme="minorHAnsi"/>
        </w:rPr>
        <w:t xml:space="preserve">, vislielākais pieaugums </w:t>
      </w:r>
      <w:r w:rsidR="008855B0" w:rsidRPr="0017458F">
        <w:rPr>
          <w:rFonts w:cstheme="minorHAnsi"/>
        </w:rPr>
        <w:t xml:space="preserve">ir </w:t>
      </w:r>
      <w:r w:rsidR="00CE24D4" w:rsidRPr="0017458F">
        <w:rPr>
          <w:rFonts w:cstheme="minorHAnsi"/>
        </w:rPr>
        <w:t xml:space="preserve">izdevumu pozīcijā </w:t>
      </w:r>
      <w:r w:rsidR="00BD0786" w:rsidRPr="00BD0786">
        <w:rPr>
          <w:rFonts w:cstheme="minorHAnsi"/>
          <w:i/>
          <w:iCs/>
        </w:rPr>
        <w:t>A</w:t>
      </w:r>
      <w:r w:rsidR="00CE24D4" w:rsidRPr="00BD0786">
        <w:rPr>
          <w:rFonts w:cstheme="minorHAnsi"/>
          <w:i/>
          <w:iCs/>
        </w:rPr>
        <w:t>talgojums</w:t>
      </w:r>
      <w:r w:rsidR="00EA25B8" w:rsidRPr="0017458F">
        <w:rPr>
          <w:rFonts w:cstheme="minorHAnsi"/>
        </w:rPr>
        <w:t>, kas saistīts ar</w:t>
      </w:r>
      <w:r w:rsidR="0017458F">
        <w:rPr>
          <w:rFonts w:cstheme="minorHAnsi"/>
        </w:rPr>
        <w:t>:</w:t>
      </w:r>
    </w:p>
    <w:p w14:paraId="7619A9C7" w14:textId="7AAA8086" w:rsidR="0017458F" w:rsidRDefault="001E3CE0" w:rsidP="0017458F">
      <w:pPr>
        <w:pStyle w:val="Sarakstarindkopa"/>
        <w:numPr>
          <w:ilvl w:val="0"/>
          <w:numId w:val="12"/>
        </w:numPr>
        <w:jc w:val="both"/>
      </w:pPr>
      <w:r>
        <w:t>MK noteikumi Nr.656 “Noteikumi par minimālās mēneša darba algas apmēru normālā darba laika ietvaros un minimālās stundas tarifa likmes aprēķināšanu”(24.11.2015.) – izmaiņas no 202</w:t>
      </w:r>
      <w:r w:rsidR="0062257A">
        <w:t>6</w:t>
      </w:r>
      <w:r>
        <w:t>.gada janvāra minimālās mēneša darba algas apmērā, palielinot darbiniekiem mēnešalgu no 7</w:t>
      </w:r>
      <w:r w:rsidR="0062257A">
        <w:t>4</w:t>
      </w:r>
      <w:r>
        <w:t>0 euro uz 7</w:t>
      </w:r>
      <w:r w:rsidR="0062257A">
        <w:t>8</w:t>
      </w:r>
      <w:r>
        <w:t>0 euro</w:t>
      </w:r>
      <w:r w:rsidR="0017458F">
        <w:t>.</w:t>
      </w:r>
    </w:p>
    <w:p w14:paraId="4DD2D9BB" w14:textId="27C7320C" w:rsidR="0017458F" w:rsidRDefault="0017458F" w:rsidP="0017458F">
      <w:pPr>
        <w:pStyle w:val="Sarakstarindkopa"/>
        <w:numPr>
          <w:ilvl w:val="0"/>
          <w:numId w:val="12"/>
        </w:numPr>
        <w:jc w:val="both"/>
      </w:pPr>
      <w:r>
        <w:t>MK noteikumi Nr. 851 “ Noteikumi par zemāko mēnešalgu un speciālo piemaksu veselības aprūpes jomā nodarbinātajiem” (18.12.2018.) -  izmaiņas ārstniecības personu amatu kvalifikācijas kategorijā no reģistrētu ārstniecības personu amata uz sertificētu ārstniecības personas amatu, pieaug zemākā mēnešalgas likme, kā arī speciālā piemaksa ārstniecības personai par darbu, kas saistīts ar īpašu risku. Kapitālsabiedrībā ik gadu daļa sanitāru iegūst profesiju Māsas palīgs, kļūstot par 6.kategorijas ārstniecības personu ;</w:t>
      </w:r>
    </w:p>
    <w:p w14:paraId="1E7BD8D9" w14:textId="77777777" w:rsidR="0017458F" w:rsidRPr="0017458F" w:rsidRDefault="0017458F" w:rsidP="00060C9C">
      <w:pPr>
        <w:pStyle w:val="Sarakstarindkopa"/>
        <w:numPr>
          <w:ilvl w:val="0"/>
          <w:numId w:val="12"/>
        </w:numPr>
        <w:spacing w:before="100" w:beforeAutospacing="1" w:after="0" w:line="240" w:lineRule="auto"/>
        <w:jc w:val="both"/>
        <w:rPr>
          <w:rFonts w:cstheme="minorHAnsi"/>
        </w:rPr>
      </w:pPr>
      <w:r>
        <w:t>Rezidentu darba samaksas nosacījumus: MK noteikumi Nr. 685 “Rezidentu uzņemšanas, sadales un rezidentūras finansēšanas kārtība”(30.08.2011.) -  izmaiņas atbilstoši 19.4. un 19.4.</w:t>
      </w:r>
      <w:r w:rsidRPr="0017458F">
        <w:rPr>
          <w:vertAlign w:val="superscript"/>
        </w:rPr>
        <w:t>1</w:t>
      </w:r>
      <w:r>
        <w:t>.punktam, ja mainās rezidentūras gads no  otrā uz trešo un pieaug rezidentam noteiktā atlīdzība.</w:t>
      </w:r>
    </w:p>
    <w:p w14:paraId="1F6A9967" w14:textId="77777777" w:rsidR="00807D7B" w:rsidRPr="00807D7B" w:rsidRDefault="0017458F" w:rsidP="00222796">
      <w:pPr>
        <w:pStyle w:val="Sarakstarindkopa"/>
        <w:numPr>
          <w:ilvl w:val="0"/>
          <w:numId w:val="12"/>
        </w:numPr>
        <w:spacing w:before="100" w:beforeAutospacing="1" w:after="0" w:line="240" w:lineRule="auto"/>
        <w:jc w:val="both"/>
        <w:rPr>
          <w:rFonts w:ascii="Calibri" w:hAnsi="Calibri" w:cs="Calibri"/>
          <w:lang w:eastAsia="lv-LV"/>
        </w:rPr>
      </w:pPr>
      <w:r>
        <w:t xml:space="preserve">Pārskata gadā pieaudzis </w:t>
      </w:r>
      <w:r w:rsidR="00A1301D">
        <w:t>rezidentu</w:t>
      </w:r>
      <w:r>
        <w:t xml:space="preserve"> skaits, salīdzinot ar 202</w:t>
      </w:r>
      <w:r w:rsidR="00A1301D">
        <w:t>5</w:t>
      </w:r>
      <w:r>
        <w:t>.gad</w:t>
      </w:r>
      <w:r w:rsidR="00E86C4B">
        <w:t>a sākumu</w:t>
      </w:r>
      <w:r>
        <w:t xml:space="preserve"> </w:t>
      </w:r>
      <w:r w:rsidR="00E86C4B">
        <w:t>(</w:t>
      </w:r>
      <w:r>
        <w:t>rezidenti +</w:t>
      </w:r>
      <w:r w:rsidR="00E86C4B">
        <w:t>7)</w:t>
      </w:r>
      <w:r>
        <w:t>;</w:t>
      </w:r>
    </w:p>
    <w:p w14:paraId="34681FC1" w14:textId="5EDC1A34" w:rsidR="00807D7B" w:rsidRDefault="00A1301D" w:rsidP="00196C05">
      <w:pPr>
        <w:pStyle w:val="Sarakstarindkopa"/>
        <w:numPr>
          <w:ilvl w:val="0"/>
          <w:numId w:val="12"/>
        </w:numPr>
        <w:spacing w:before="100" w:beforeAutospacing="1" w:after="0" w:line="240" w:lineRule="auto"/>
        <w:jc w:val="both"/>
        <w:rPr>
          <w:rFonts w:ascii="Calibri" w:hAnsi="Calibri" w:cs="Calibri"/>
          <w:lang w:eastAsia="lv-LV"/>
        </w:rPr>
      </w:pPr>
      <w:r w:rsidRPr="00807D7B">
        <w:rPr>
          <w:rFonts w:ascii="Calibri" w:hAnsi="Calibri" w:cs="Calibri"/>
          <w:lang w:eastAsia="lv-LV"/>
        </w:rPr>
        <w:t>LM finansēto programmu darbinieku atlīdzības paaugstināšana (+5%)</w:t>
      </w:r>
      <w:r w:rsidR="00807D7B" w:rsidRPr="00807D7B">
        <w:rPr>
          <w:rFonts w:ascii="Calibri" w:hAnsi="Calibri" w:cs="Calibri"/>
          <w:lang w:eastAsia="lv-LV"/>
        </w:rPr>
        <w:t>;</w:t>
      </w:r>
    </w:p>
    <w:p w14:paraId="77614C36" w14:textId="64D73503" w:rsidR="00A1301D" w:rsidRPr="00807D7B" w:rsidRDefault="00A1301D" w:rsidP="00196C05">
      <w:pPr>
        <w:pStyle w:val="Sarakstarindkopa"/>
        <w:numPr>
          <w:ilvl w:val="0"/>
          <w:numId w:val="12"/>
        </w:numPr>
        <w:spacing w:before="100" w:beforeAutospacing="1" w:after="0" w:line="240" w:lineRule="auto"/>
        <w:jc w:val="both"/>
        <w:rPr>
          <w:rFonts w:ascii="Calibri" w:hAnsi="Calibri" w:cs="Calibri"/>
          <w:lang w:eastAsia="lv-LV"/>
        </w:rPr>
      </w:pPr>
      <w:r w:rsidRPr="00807D7B">
        <w:rPr>
          <w:rFonts w:ascii="Calibri" w:hAnsi="Calibri" w:cs="Calibri"/>
          <w:lang w:eastAsia="lv-LV"/>
        </w:rPr>
        <w:t>2026.gadā ES fondu līdzfinansēto projektu īstenošanai personāla izmaksas</w:t>
      </w:r>
      <w:r w:rsidR="00A81ECA">
        <w:rPr>
          <w:rFonts w:ascii="Calibri" w:hAnsi="Calibri" w:cs="Calibri"/>
          <w:lang w:eastAsia="lv-LV"/>
        </w:rPr>
        <w:t>:</w:t>
      </w:r>
      <w:r w:rsidRPr="00807D7B">
        <w:rPr>
          <w:rFonts w:ascii="Calibri" w:hAnsi="Calibri" w:cs="Calibri"/>
          <w:lang w:eastAsia="lv-LV"/>
        </w:rPr>
        <w:t xml:space="preserve"> </w:t>
      </w:r>
    </w:p>
    <w:p w14:paraId="6AB5AF9F" w14:textId="4DD1F792" w:rsidR="00A1301D" w:rsidRPr="00D923A3" w:rsidRDefault="00A1301D" w:rsidP="00E86C4B">
      <w:pPr>
        <w:pStyle w:val="Sarakstarindkopa"/>
        <w:numPr>
          <w:ilvl w:val="1"/>
          <w:numId w:val="20"/>
        </w:numPr>
        <w:spacing w:after="0"/>
        <w:jc w:val="both"/>
        <w:rPr>
          <w:rFonts w:ascii="Calibri" w:hAnsi="Calibri" w:cs="Calibri"/>
          <w:lang w:eastAsia="lv-LV"/>
        </w:rPr>
      </w:pPr>
      <w:r w:rsidRPr="00D923A3">
        <w:rPr>
          <w:rFonts w:ascii="Calibri" w:hAnsi="Calibri" w:cs="Calibri"/>
          <w:lang w:eastAsia="lv-LV"/>
        </w:rPr>
        <w:t>ES projekt</w:t>
      </w:r>
      <w:r w:rsidR="00A81ECA">
        <w:rPr>
          <w:rFonts w:ascii="Calibri" w:hAnsi="Calibri" w:cs="Calibri"/>
          <w:lang w:eastAsia="lv-LV"/>
        </w:rPr>
        <w:t>s</w:t>
      </w:r>
      <w:r w:rsidRPr="00D923A3">
        <w:rPr>
          <w:rFonts w:ascii="Calibri" w:hAnsi="Calibri" w:cs="Calibri"/>
          <w:lang w:eastAsia="lv-LV"/>
        </w:rPr>
        <w:t xml:space="preserve">  “Psihiskās veselības iestāžu infrastruktūras attīstība”, Nr.4.1.1.1/3/24/I/001;</w:t>
      </w:r>
    </w:p>
    <w:p w14:paraId="571F5847" w14:textId="05F13B27" w:rsidR="00A1301D" w:rsidRPr="004B60B0" w:rsidRDefault="00A1301D" w:rsidP="00E86C4B">
      <w:pPr>
        <w:pStyle w:val="Sarakstarindkopa"/>
        <w:numPr>
          <w:ilvl w:val="1"/>
          <w:numId w:val="20"/>
        </w:numPr>
        <w:jc w:val="both"/>
        <w:rPr>
          <w:rFonts w:ascii="Calibri" w:hAnsi="Calibri" w:cs="Calibri"/>
          <w:lang w:eastAsia="lv-LV"/>
        </w:rPr>
      </w:pPr>
      <w:r w:rsidRPr="004B60B0">
        <w:rPr>
          <w:rFonts w:ascii="Calibri" w:hAnsi="Calibri" w:cs="Calibri"/>
          <w:lang w:eastAsia="lv-LV"/>
        </w:rPr>
        <w:t>Es projekt</w:t>
      </w:r>
      <w:r w:rsidR="00A81ECA">
        <w:rPr>
          <w:rFonts w:ascii="Calibri" w:hAnsi="Calibri" w:cs="Calibri"/>
          <w:lang w:eastAsia="lv-LV"/>
        </w:rPr>
        <w:t>s</w:t>
      </w:r>
      <w:r w:rsidRPr="004B60B0">
        <w:rPr>
          <w:rFonts w:ascii="Calibri" w:hAnsi="Calibri" w:cs="Calibri"/>
          <w:lang w:eastAsia="lv-LV"/>
        </w:rPr>
        <w:t xml:space="preserve"> “Telpu pielāgošana un aprīkošana III kategorijas patvertnes ierīkošanai”, Nr.5.</w:t>
      </w:r>
      <w:r w:rsidR="00807D7B">
        <w:rPr>
          <w:rFonts w:ascii="Calibri" w:hAnsi="Calibri" w:cs="Calibri"/>
          <w:lang w:eastAsia="lv-LV"/>
        </w:rPr>
        <w:t>2.1.1</w:t>
      </w:r>
      <w:r w:rsidRPr="004B60B0">
        <w:rPr>
          <w:rFonts w:ascii="Calibri" w:hAnsi="Calibri" w:cs="Calibri"/>
          <w:lang w:eastAsia="lv-LV"/>
        </w:rPr>
        <w:t>/1/25/I/003;</w:t>
      </w:r>
    </w:p>
    <w:p w14:paraId="688A7CBF" w14:textId="6F7A056A" w:rsidR="00A1301D" w:rsidRPr="004B60B0" w:rsidRDefault="00A1301D" w:rsidP="00E86C4B">
      <w:pPr>
        <w:pStyle w:val="Sarakstarindkopa"/>
        <w:numPr>
          <w:ilvl w:val="1"/>
          <w:numId w:val="20"/>
        </w:numPr>
        <w:jc w:val="both"/>
        <w:rPr>
          <w:rFonts w:ascii="Calibri" w:hAnsi="Calibri" w:cs="Calibri"/>
          <w:lang w:eastAsia="lv-LV"/>
        </w:rPr>
      </w:pPr>
      <w:r w:rsidRPr="004B60B0">
        <w:rPr>
          <w:rFonts w:ascii="Calibri" w:hAnsi="Calibri" w:cs="Calibri"/>
          <w:lang w:eastAsia="lv-LV"/>
        </w:rPr>
        <w:lastRenderedPageBreak/>
        <w:t>Pilotprojekt</w:t>
      </w:r>
      <w:r w:rsidR="00A81ECA">
        <w:rPr>
          <w:rFonts w:ascii="Calibri" w:hAnsi="Calibri" w:cs="Calibri"/>
          <w:lang w:eastAsia="lv-LV"/>
        </w:rPr>
        <w:t>s</w:t>
      </w:r>
      <w:r w:rsidRPr="004B60B0">
        <w:rPr>
          <w:rFonts w:ascii="Calibri" w:hAnsi="Calibri" w:cs="Calibri"/>
          <w:lang w:eastAsia="lv-LV"/>
        </w:rPr>
        <w:t xml:space="preserve"> “Triažēšanas sistēmas (PsyLo) ieviešana ambulatoro pakalpojumu prioritizēšanas nodrošināšanā cilvēkiem ar psihiskām sūdzībām</w:t>
      </w:r>
      <w:r w:rsidR="00A81ECA">
        <w:rPr>
          <w:rFonts w:ascii="Calibri" w:hAnsi="Calibri" w:cs="Calibri"/>
          <w:lang w:eastAsia="lv-LV"/>
        </w:rPr>
        <w:t>”.</w:t>
      </w:r>
    </w:p>
    <w:p w14:paraId="69793DEB" w14:textId="77777777" w:rsidR="00A1301D" w:rsidRPr="00A95A81" w:rsidRDefault="00A1301D" w:rsidP="00E86C4B">
      <w:pPr>
        <w:pStyle w:val="Sarakstarindkopa"/>
        <w:spacing w:before="100" w:beforeAutospacing="1" w:after="0" w:line="240" w:lineRule="auto"/>
        <w:jc w:val="both"/>
        <w:rPr>
          <w:rFonts w:cstheme="minorHAnsi"/>
        </w:rPr>
      </w:pPr>
    </w:p>
    <w:p w14:paraId="29592A26" w14:textId="6CD055E2" w:rsidR="00645399" w:rsidRDefault="00A95A81" w:rsidP="00645399">
      <w:pPr>
        <w:spacing w:before="240"/>
        <w:jc w:val="both"/>
        <w:rPr>
          <w:rFonts w:ascii="Calibri" w:hAnsi="Calibri" w:cs="Calibri"/>
          <w:i/>
          <w:iCs/>
        </w:rPr>
      </w:pPr>
      <w:r w:rsidRPr="0079193C">
        <w:rPr>
          <w:u w:val="single"/>
        </w:rPr>
        <w:t>Salīdzinot personāla izmaksas 202</w:t>
      </w:r>
      <w:r w:rsidR="00FA1905" w:rsidRPr="0079193C">
        <w:rPr>
          <w:u w:val="single"/>
        </w:rPr>
        <w:t>6</w:t>
      </w:r>
      <w:r w:rsidRPr="0079193C">
        <w:rPr>
          <w:u w:val="single"/>
        </w:rPr>
        <w:t>.gada pārskata periodā ar 202</w:t>
      </w:r>
      <w:r w:rsidR="00FA1905" w:rsidRPr="0079193C">
        <w:rPr>
          <w:u w:val="single"/>
        </w:rPr>
        <w:t>5</w:t>
      </w:r>
      <w:r w:rsidRPr="0079193C">
        <w:rPr>
          <w:u w:val="single"/>
        </w:rPr>
        <w:t xml:space="preserve">.gada pārskata periodu, </w:t>
      </w:r>
      <w:r w:rsidR="00AB579A" w:rsidRPr="0079193C">
        <w:rPr>
          <w:u w:val="single"/>
        </w:rPr>
        <w:t>to īpatsvars</w:t>
      </w:r>
      <w:r w:rsidR="001A0C31" w:rsidRPr="0079193C">
        <w:rPr>
          <w:u w:val="single"/>
        </w:rPr>
        <w:t xml:space="preserve"> ieņēmum</w:t>
      </w:r>
      <w:r w:rsidR="00AB579A" w:rsidRPr="0079193C">
        <w:rPr>
          <w:u w:val="single"/>
        </w:rPr>
        <w:t>os</w:t>
      </w:r>
      <w:r w:rsidR="001A0C31" w:rsidRPr="0079193C">
        <w:rPr>
          <w:u w:val="single"/>
        </w:rPr>
        <w:t xml:space="preserve"> ir</w:t>
      </w:r>
      <w:r w:rsidRPr="0079193C">
        <w:rPr>
          <w:u w:val="single"/>
        </w:rPr>
        <w:t xml:space="preserve"> </w:t>
      </w:r>
      <w:r w:rsidR="00A62CE4" w:rsidRPr="0079193C">
        <w:rPr>
          <w:u w:val="single"/>
        </w:rPr>
        <w:t>83.11</w:t>
      </w:r>
      <w:r w:rsidRPr="0079193C">
        <w:rPr>
          <w:u w:val="single"/>
        </w:rPr>
        <w:t xml:space="preserve">%, </w:t>
      </w:r>
      <w:r w:rsidR="00A62CE4" w:rsidRPr="0079193C">
        <w:rPr>
          <w:u w:val="single"/>
        </w:rPr>
        <w:t>kas ir identiski 2025.gada rādītājam – 83.18</w:t>
      </w:r>
      <w:r w:rsidR="00A62CE4" w:rsidRPr="0079193C">
        <w:rPr>
          <w:i/>
          <w:iCs/>
          <w:u w:val="single"/>
        </w:rPr>
        <w:t>%</w:t>
      </w:r>
      <w:r w:rsidRPr="0079193C">
        <w:rPr>
          <w:i/>
          <w:iCs/>
          <w:u w:val="single"/>
        </w:rPr>
        <w:t>.</w:t>
      </w:r>
      <w:r w:rsidR="00AB579A">
        <w:rPr>
          <w:i/>
          <w:iCs/>
        </w:rPr>
        <w:t xml:space="preserve"> (</w:t>
      </w:r>
      <w:r w:rsidRPr="00AB579A">
        <w:rPr>
          <w:rFonts w:ascii="Calibri" w:hAnsi="Calibri" w:cs="Calibri"/>
          <w:i/>
          <w:iCs/>
        </w:rPr>
        <w:t xml:space="preserve"> </w:t>
      </w:r>
      <w:r w:rsidR="00645399" w:rsidRPr="00AB579A">
        <w:rPr>
          <w:rFonts w:ascii="Calibri" w:hAnsi="Calibri" w:cs="Calibri"/>
          <w:i/>
          <w:iCs/>
        </w:rPr>
        <w:t>Likuma “Par valsts budžetu 2026.gadam un budžeta ietvaru 2026.,2027.un 2028.gadam”  83.pantā noteikto ierobežojumu par kopējo personāla izmaksu attiecības pret kopējiem ieņēmumiem nepalielinās salīdzinājumā ar iepriekšējo pārskata gadu, veicot personāla produktivitātes paaugstināšanas un digitalizācijas procesus, kā arī pārskatot kapitālsabiedrību atlīdzības politikas, neietekmējot pakalpojumu kvalitāti.</w:t>
      </w:r>
      <w:r w:rsidR="00AB579A">
        <w:rPr>
          <w:rFonts w:ascii="Calibri" w:hAnsi="Calibri" w:cs="Calibri"/>
          <w:i/>
          <w:iCs/>
        </w:rPr>
        <w:t>)</w:t>
      </w:r>
      <w:r w:rsidR="00645399" w:rsidRPr="00AB579A">
        <w:rPr>
          <w:rFonts w:ascii="Calibri" w:hAnsi="Calibri" w:cs="Calibri"/>
          <w:i/>
          <w:iCs/>
        </w:rPr>
        <w:t xml:space="preserve"> </w:t>
      </w:r>
    </w:p>
    <w:p w14:paraId="4F10F72D" w14:textId="4AC6F307" w:rsidR="00AB579A" w:rsidRPr="00AB579A" w:rsidRDefault="00AB579A" w:rsidP="00645399">
      <w:pPr>
        <w:spacing w:before="240"/>
        <w:jc w:val="both"/>
        <w:rPr>
          <w:rFonts w:ascii="Calibri" w:hAnsi="Calibri" w:cs="Calibri"/>
        </w:rPr>
      </w:pPr>
      <w:r>
        <w:rPr>
          <w:rFonts w:ascii="Calibri" w:hAnsi="Calibri" w:cs="Calibri"/>
        </w:rPr>
        <w:t>Izmaksu pieaugums vērojams izd</w:t>
      </w:r>
      <w:r w:rsidR="00AA6DEE">
        <w:rPr>
          <w:rFonts w:ascii="Calibri" w:hAnsi="Calibri" w:cs="Calibri"/>
        </w:rPr>
        <w:t>e</w:t>
      </w:r>
      <w:r>
        <w:rPr>
          <w:rFonts w:ascii="Calibri" w:hAnsi="Calibri" w:cs="Calibri"/>
        </w:rPr>
        <w:t>vumu pozīcijās, kas saistītas ar ziemas period</w:t>
      </w:r>
      <w:r w:rsidR="000C5314">
        <w:rPr>
          <w:rFonts w:ascii="Calibri" w:hAnsi="Calibri" w:cs="Calibri"/>
        </w:rPr>
        <w:t>u- siltumenerģijas izdevumi pārsnieguši</w:t>
      </w:r>
      <w:r w:rsidR="00AA6DEE">
        <w:rPr>
          <w:rFonts w:ascii="Calibri" w:hAnsi="Calibri" w:cs="Calibri"/>
        </w:rPr>
        <w:t xml:space="preserve"> plānoto</w:t>
      </w:r>
      <w:r w:rsidR="000C5314">
        <w:rPr>
          <w:rFonts w:ascii="Calibri" w:hAnsi="Calibri" w:cs="Calibri"/>
        </w:rPr>
        <w:t xml:space="preserve"> par </w:t>
      </w:r>
      <w:r w:rsidR="00AA6DEE">
        <w:rPr>
          <w:rFonts w:ascii="Calibri" w:hAnsi="Calibri" w:cs="Calibri"/>
        </w:rPr>
        <w:t xml:space="preserve">22 075 euro </w:t>
      </w:r>
      <w:r w:rsidR="00C05875">
        <w:rPr>
          <w:rFonts w:ascii="Calibri" w:hAnsi="Calibri" w:cs="Calibri"/>
        </w:rPr>
        <w:t xml:space="preserve">un par 19 686 euro 2025.gada izdevumus salīdzināmajā pārskata periodā. </w:t>
      </w:r>
      <w:r w:rsidR="005404F3">
        <w:rPr>
          <w:rFonts w:ascii="Calibri" w:hAnsi="Calibri" w:cs="Calibri"/>
        </w:rPr>
        <w:t>P</w:t>
      </w:r>
      <w:r w:rsidR="005404F3" w:rsidRPr="005404F3">
        <w:rPr>
          <w:rFonts w:ascii="Calibri" w:hAnsi="Calibri" w:cs="Calibri"/>
        </w:rPr>
        <w:t xml:space="preserve">apildus plānotajam veikts bruģa seguma remonts sakarā ar tā sairšanu ziemas periodā </w:t>
      </w:r>
      <w:r w:rsidR="005404F3">
        <w:rPr>
          <w:rFonts w:ascii="Calibri" w:hAnsi="Calibri" w:cs="Calibri"/>
        </w:rPr>
        <w:t>(</w:t>
      </w:r>
      <w:r w:rsidR="005404F3" w:rsidRPr="005404F3">
        <w:rPr>
          <w:rFonts w:ascii="Calibri" w:hAnsi="Calibri" w:cs="Calibri"/>
        </w:rPr>
        <w:t>14214 euro</w:t>
      </w:r>
      <w:r w:rsidR="005404F3">
        <w:rPr>
          <w:rFonts w:ascii="Calibri" w:hAnsi="Calibri" w:cs="Calibri"/>
        </w:rPr>
        <w:t>)</w:t>
      </w:r>
      <w:r w:rsidR="005404F3" w:rsidRPr="005404F3">
        <w:rPr>
          <w:rFonts w:ascii="Calibri" w:hAnsi="Calibri" w:cs="Calibri"/>
        </w:rPr>
        <w:t>.</w:t>
      </w:r>
      <w:r w:rsidR="00576997">
        <w:rPr>
          <w:rFonts w:ascii="Calibri" w:hAnsi="Calibri" w:cs="Calibri"/>
        </w:rPr>
        <w:t xml:space="preserve"> Pieauguši </w:t>
      </w:r>
      <w:r w:rsidR="0044381F">
        <w:rPr>
          <w:rFonts w:ascii="Calibri" w:hAnsi="Calibri" w:cs="Calibri"/>
        </w:rPr>
        <w:t>slimnīcas ikdienas uzturēšanas materiālu izdevumi, kas saistīti ar vispārējo cenu līmeņa pieaugumu.</w:t>
      </w:r>
    </w:p>
    <w:p w14:paraId="6630692E" w14:textId="77777777" w:rsidR="00F253A6" w:rsidRDefault="001D2AFE" w:rsidP="00FA2AE6">
      <w:pPr>
        <w:spacing w:before="100" w:beforeAutospacing="1" w:after="100" w:afterAutospacing="1"/>
        <w:jc w:val="both"/>
        <w:rPr>
          <w:rFonts w:cstheme="minorHAnsi"/>
        </w:rPr>
      </w:pPr>
      <w:r w:rsidRPr="00DB6C58">
        <w:rPr>
          <w:rFonts w:cstheme="minorHAnsi"/>
        </w:rPr>
        <w:t xml:space="preserve">Sabiedrības pārskata perioda saimnieciskās darbības rezultāts ir </w:t>
      </w:r>
      <w:r w:rsidR="00375B32">
        <w:rPr>
          <w:rFonts w:cstheme="minorHAnsi"/>
        </w:rPr>
        <w:t xml:space="preserve">zaudējumi </w:t>
      </w:r>
      <w:r w:rsidR="00F253A6">
        <w:rPr>
          <w:rFonts w:cstheme="minorHAnsi"/>
        </w:rPr>
        <w:t>86 150</w:t>
      </w:r>
      <w:r w:rsidR="007C2970">
        <w:rPr>
          <w:rFonts w:cstheme="minorHAnsi"/>
        </w:rPr>
        <w:t xml:space="preserve"> euro apmērā</w:t>
      </w:r>
      <w:r w:rsidR="00017BBA">
        <w:rPr>
          <w:rFonts w:cstheme="minorHAnsi"/>
        </w:rPr>
        <w:t>, salīdzinoši</w:t>
      </w:r>
      <w:r w:rsidR="00375B32">
        <w:rPr>
          <w:rFonts w:cstheme="minorHAnsi"/>
        </w:rPr>
        <w:t xml:space="preserve"> </w:t>
      </w:r>
      <w:r w:rsidR="00F253A6">
        <w:rPr>
          <w:rFonts w:cstheme="minorHAnsi"/>
        </w:rPr>
        <w:t xml:space="preserve">2025.gadā zaudējumi 16 535 euro; </w:t>
      </w:r>
      <w:r w:rsidR="00375B32">
        <w:rPr>
          <w:rFonts w:cstheme="minorHAnsi"/>
        </w:rPr>
        <w:t>2024.gadā peļņa 108 830 euro;</w:t>
      </w:r>
      <w:r w:rsidR="00017BBA">
        <w:rPr>
          <w:rFonts w:cstheme="minorHAnsi"/>
        </w:rPr>
        <w:t xml:space="preserve"> 202</w:t>
      </w:r>
      <w:r w:rsidR="00375B32">
        <w:rPr>
          <w:rFonts w:cstheme="minorHAnsi"/>
        </w:rPr>
        <w:t>3</w:t>
      </w:r>
      <w:r w:rsidR="00017BBA">
        <w:rPr>
          <w:rFonts w:cstheme="minorHAnsi"/>
        </w:rPr>
        <w:t xml:space="preserve">.gadā - </w:t>
      </w:r>
      <w:r w:rsidR="00326431">
        <w:rPr>
          <w:rFonts w:cstheme="minorHAnsi"/>
        </w:rPr>
        <w:t>zaudējumi 229 893</w:t>
      </w:r>
      <w:r w:rsidRPr="00DB6C58">
        <w:rPr>
          <w:rFonts w:cstheme="minorHAnsi"/>
        </w:rPr>
        <w:t xml:space="preserve"> euro , </w:t>
      </w:r>
      <w:r w:rsidR="00326431">
        <w:rPr>
          <w:rFonts w:cstheme="minorHAnsi"/>
        </w:rPr>
        <w:t xml:space="preserve">2022.gadā -peļņa 260 493 euro; </w:t>
      </w:r>
      <w:r w:rsidRPr="00DB6C58">
        <w:rPr>
          <w:rFonts w:cstheme="minorHAnsi"/>
        </w:rPr>
        <w:t>20</w:t>
      </w:r>
      <w:r w:rsidR="008558D6" w:rsidRPr="00DB6C58">
        <w:rPr>
          <w:rFonts w:cstheme="minorHAnsi"/>
        </w:rPr>
        <w:t>2</w:t>
      </w:r>
      <w:r w:rsidR="00A06E8B" w:rsidRPr="00DB6C58">
        <w:rPr>
          <w:rFonts w:cstheme="minorHAnsi"/>
        </w:rPr>
        <w:t>1</w:t>
      </w:r>
      <w:r w:rsidRPr="00DB6C58">
        <w:rPr>
          <w:rFonts w:cstheme="minorHAnsi"/>
        </w:rPr>
        <w:t>.gad</w:t>
      </w:r>
      <w:r w:rsidR="00B74136" w:rsidRPr="00DB6C58">
        <w:rPr>
          <w:rFonts w:cstheme="minorHAnsi"/>
        </w:rPr>
        <w:t>ā</w:t>
      </w:r>
      <w:r w:rsidRPr="00DB6C58">
        <w:rPr>
          <w:rFonts w:cstheme="minorHAnsi"/>
        </w:rPr>
        <w:t xml:space="preserve"> peļņa </w:t>
      </w:r>
      <w:r w:rsidR="00F253A6">
        <w:rPr>
          <w:rFonts w:cstheme="minorHAnsi"/>
        </w:rPr>
        <w:t>-</w:t>
      </w:r>
      <w:r w:rsidR="008558D6" w:rsidRPr="00DB6C58">
        <w:rPr>
          <w:rFonts w:cstheme="minorHAnsi"/>
        </w:rPr>
        <w:t xml:space="preserve"> </w:t>
      </w:r>
      <w:r w:rsidR="00D37E07" w:rsidRPr="00DB6C58">
        <w:rPr>
          <w:rFonts w:cstheme="minorHAnsi"/>
        </w:rPr>
        <w:t>168 261</w:t>
      </w:r>
      <w:r w:rsidR="008558D6" w:rsidRPr="00DB6C58">
        <w:rPr>
          <w:rFonts w:cstheme="minorHAnsi"/>
        </w:rPr>
        <w:t xml:space="preserve"> </w:t>
      </w:r>
      <w:r w:rsidRPr="00DB6C58">
        <w:rPr>
          <w:rFonts w:cstheme="minorHAnsi"/>
        </w:rPr>
        <w:t>euro, bet</w:t>
      </w:r>
      <w:r w:rsidR="00375B32">
        <w:rPr>
          <w:rFonts w:cstheme="minorHAnsi"/>
        </w:rPr>
        <w:t xml:space="preserve">, salīdzinot ar </w:t>
      </w:r>
      <w:r w:rsidRPr="00DB6C58">
        <w:rPr>
          <w:rFonts w:cstheme="minorHAnsi"/>
        </w:rPr>
        <w:t xml:space="preserve"> </w:t>
      </w:r>
      <w:r w:rsidR="00017BBA">
        <w:rPr>
          <w:rFonts w:cstheme="minorHAnsi"/>
        </w:rPr>
        <w:t>202</w:t>
      </w:r>
      <w:r w:rsidR="00F253A6">
        <w:rPr>
          <w:rFonts w:cstheme="minorHAnsi"/>
        </w:rPr>
        <w:t>6</w:t>
      </w:r>
      <w:r w:rsidR="00017BBA">
        <w:rPr>
          <w:rFonts w:cstheme="minorHAnsi"/>
        </w:rPr>
        <w:t xml:space="preserve">.gada </w:t>
      </w:r>
      <w:r w:rsidRPr="00DB6C58">
        <w:rPr>
          <w:rFonts w:cstheme="minorHAnsi"/>
        </w:rPr>
        <w:t>plān</w:t>
      </w:r>
      <w:r w:rsidR="00375B32">
        <w:rPr>
          <w:rFonts w:cstheme="minorHAnsi"/>
        </w:rPr>
        <w:t xml:space="preserve">u, </w:t>
      </w:r>
      <w:r w:rsidRPr="00DB6C58">
        <w:rPr>
          <w:rFonts w:cstheme="minorHAnsi"/>
        </w:rPr>
        <w:t xml:space="preserve"> </w:t>
      </w:r>
      <w:r w:rsidR="00375B32">
        <w:rPr>
          <w:rFonts w:cstheme="minorHAnsi"/>
        </w:rPr>
        <w:t xml:space="preserve">kas paredz zaudējumus </w:t>
      </w:r>
      <w:r w:rsidR="00F253A6">
        <w:rPr>
          <w:rFonts w:cstheme="minorHAnsi"/>
        </w:rPr>
        <w:t>57 061</w:t>
      </w:r>
      <w:r w:rsidR="00375B32">
        <w:rPr>
          <w:rFonts w:cstheme="minorHAnsi"/>
        </w:rPr>
        <w:t xml:space="preserve"> euro apmērā, </w:t>
      </w:r>
      <w:r w:rsidR="00F253A6">
        <w:rPr>
          <w:rFonts w:cstheme="minorHAnsi"/>
        </w:rPr>
        <w:t>faktiskie zaudējumi ir par 29 089 euro vairāk.</w:t>
      </w:r>
    </w:p>
    <w:p w14:paraId="55289AFA" w14:textId="43199EDD" w:rsidR="001D2AFE" w:rsidRPr="00DB6C58" w:rsidRDefault="00BE6248" w:rsidP="00FA2AE6">
      <w:pPr>
        <w:spacing w:before="100" w:beforeAutospacing="1" w:after="100" w:afterAutospacing="1"/>
        <w:jc w:val="both"/>
        <w:rPr>
          <w:rFonts w:cstheme="minorHAnsi"/>
        </w:rPr>
      </w:pPr>
      <w:r>
        <w:rPr>
          <w:rFonts w:cstheme="minorHAnsi"/>
        </w:rPr>
        <w:t xml:space="preserve"> Ja NVD par pārskata periodā sniegtajiem veselības aprūpes pakalpojumiem apmaksātu pilnā apmērā, neierobežojot arī neatliekamo palīdzību, tad kapitālsabiedrības saimnieciskās darbības rezultāts būtu peļņa </w:t>
      </w:r>
      <w:r w:rsidR="00F253A6">
        <w:rPr>
          <w:rFonts w:cstheme="minorHAnsi"/>
        </w:rPr>
        <w:t>79 979</w:t>
      </w:r>
      <w:r>
        <w:rPr>
          <w:rFonts w:cstheme="minorHAnsi"/>
        </w:rPr>
        <w:t xml:space="preserve"> euro apmērā ( virs kvotas stacionārie pakalpojumi </w:t>
      </w:r>
      <w:r w:rsidR="004004BA">
        <w:rPr>
          <w:rFonts w:cstheme="minorHAnsi"/>
        </w:rPr>
        <w:t>152 423</w:t>
      </w:r>
      <w:r>
        <w:rPr>
          <w:rFonts w:cstheme="minorHAnsi"/>
        </w:rPr>
        <w:t xml:space="preserve"> euro</w:t>
      </w:r>
      <w:r w:rsidR="0070122A">
        <w:rPr>
          <w:rFonts w:cstheme="minorHAnsi"/>
        </w:rPr>
        <w:t xml:space="preserve"> un SAVA pakalpojumi </w:t>
      </w:r>
      <w:r w:rsidR="004004BA">
        <w:rPr>
          <w:rFonts w:cstheme="minorHAnsi"/>
        </w:rPr>
        <w:t>13 706</w:t>
      </w:r>
      <w:r w:rsidR="0070122A">
        <w:rPr>
          <w:rFonts w:cstheme="minorHAnsi"/>
        </w:rPr>
        <w:t xml:space="preserve"> euro)</w:t>
      </w:r>
      <w:r w:rsidR="00295F13">
        <w:rPr>
          <w:rFonts w:cstheme="minorHAnsi"/>
        </w:rPr>
        <w:t>. Peļņas adekvātu aprēķinu ietekmē arī NVD norēķins par medicīnisko rehabilitāciju psihiatrijā</w:t>
      </w:r>
      <w:r w:rsidR="007B4A49">
        <w:rPr>
          <w:rFonts w:cstheme="minorHAnsi"/>
        </w:rPr>
        <w:t xml:space="preserve">, kur </w:t>
      </w:r>
      <w:r w:rsidR="0050575A">
        <w:rPr>
          <w:rFonts w:cstheme="minorHAnsi"/>
        </w:rPr>
        <w:t xml:space="preserve">veiktā pakalpojuma apjoms ieņēmumos tiek atzīts </w:t>
      </w:r>
      <w:r w:rsidR="00FE4CA4">
        <w:rPr>
          <w:rFonts w:cstheme="minorHAnsi"/>
        </w:rPr>
        <w:t>pēc kalendārā mēneša, bet gada beigās decembra rēķinā tiek iekļauts norēķins gan par novembri, gan par decembri.</w:t>
      </w:r>
      <w:r w:rsidR="000A5B2B">
        <w:rPr>
          <w:rFonts w:cstheme="minorHAnsi"/>
        </w:rPr>
        <w:t xml:space="preserve"> Tātad slimnīca no saviem līdzek</w:t>
      </w:r>
      <w:r w:rsidR="00F12581">
        <w:rPr>
          <w:rFonts w:cstheme="minorHAnsi"/>
        </w:rPr>
        <w:t>ļiem avansē valsts apmaksātus veselības aprūpes pakalpojumus.</w:t>
      </w:r>
    </w:p>
    <w:p w14:paraId="11CE5E29" w14:textId="5515FDDF" w:rsidR="00B74136" w:rsidRPr="003D07A2" w:rsidRDefault="00B74136" w:rsidP="00FA2AE6">
      <w:pPr>
        <w:spacing w:before="100" w:beforeAutospacing="1" w:after="100" w:afterAutospacing="1"/>
        <w:jc w:val="both"/>
        <w:rPr>
          <w:rFonts w:cstheme="minorHAnsi"/>
        </w:rPr>
      </w:pPr>
      <w:r w:rsidRPr="00DB6C58">
        <w:rPr>
          <w:rFonts w:cstheme="minorHAnsi"/>
        </w:rPr>
        <w:t>Salīdzinot 202</w:t>
      </w:r>
      <w:r w:rsidR="00375B32">
        <w:rPr>
          <w:rFonts w:cstheme="minorHAnsi"/>
        </w:rPr>
        <w:t>5</w:t>
      </w:r>
      <w:r w:rsidRPr="00DB6C58">
        <w:rPr>
          <w:rFonts w:cstheme="minorHAnsi"/>
        </w:rPr>
        <w:t xml:space="preserve">.gadu ar iepriekšējo </w:t>
      </w:r>
      <w:r w:rsidR="008522B7">
        <w:rPr>
          <w:rFonts w:cstheme="minorHAnsi"/>
        </w:rPr>
        <w:t>gadu</w:t>
      </w:r>
      <w:r w:rsidRPr="00DB6C58">
        <w:rPr>
          <w:rFonts w:cstheme="minorHAnsi"/>
        </w:rPr>
        <w:t>, var secināt, ka  bruto pelņas rādītāj</w:t>
      </w:r>
      <w:r w:rsidR="00375B32">
        <w:rPr>
          <w:rFonts w:cstheme="minorHAnsi"/>
        </w:rPr>
        <w:t xml:space="preserve">s ir samazinājies par </w:t>
      </w:r>
      <w:r w:rsidR="007D0926">
        <w:rPr>
          <w:rFonts w:cstheme="minorHAnsi"/>
        </w:rPr>
        <w:t>132 665</w:t>
      </w:r>
      <w:r w:rsidR="00375B32">
        <w:rPr>
          <w:rFonts w:cstheme="minorHAnsi"/>
        </w:rPr>
        <w:t xml:space="preserve"> euro</w:t>
      </w:r>
      <w:r w:rsidR="006F7A02">
        <w:rPr>
          <w:rFonts w:cstheme="minorHAnsi"/>
        </w:rPr>
        <w:t>,</w:t>
      </w:r>
      <w:r w:rsidR="00375B32">
        <w:rPr>
          <w:rFonts w:cstheme="minorHAnsi"/>
        </w:rPr>
        <w:t xml:space="preserve"> </w:t>
      </w:r>
      <w:r w:rsidR="006F7A02">
        <w:rPr>
          <w:rFonts w:cstheme="minorHAnsi"/>
        </w:rPr>
        <w:t>t.i.</w:t>
      </w:r>
      <w:r w:rsidRPr="00DB6C58">
        <w:rPr>
          <w:rFonts w:cstheme="minorHAnsi"/>
        </w:rPr>
        <w:t xml:space="preserve"> </w:t>
      </w:r>
      <w:r w:rsidR="006F7A02">
        <w:rPr>
          <w:rFonts w:cstheme="minorHAnsi"/>
        </w:rPr>
        <w:t xml:space="preserve"> </w:t>
      </w:r>
      <w:r w:rsidR="00F5118F">
        <w:rPr>
          <w:rFonts w:cstheme="minorHAnsi"/>
        </w:rPr>
        <w:t>51 646</w:t>
      </w:r>
      <w:r w:rsidR="006F7A02">
        <w:rPr>
          <w:rFonts w:cstheme="minorHAnsi"/>
        </w:rPr>
        <w:t xml:space="preserve"> euro </w:t>
      </w:r>
      <w:r w:rsidR="00A34111" w:rsidRPr="00DB6C58">
        <w:rPr>
          <w:rFonts w:cstheme="minorHAnsi"/>
        </w:rPr>
        <w:t>(</w:t>
      </w:r>
      <w:r w:rsidR="00F5118F">
        <w:rPr>
          <w:rFonts w:cstheme="minorHAnsi"/>
        </w:rPr>
        <w:t xml:space="preserve">2025.gadā 184 311 euro; </w:t>
      </w:r>
      <w:r w:rsidR="00375B32">
        <w:rPr>
          <w:rFonts w:cstheme="minorHAnsi"/>
        </w:rPr>
        <w:t>2024.gadā 269 166 euro;</w:t>
      </w:r>
      <w:r w:rsidRPr="00DB6C58">
        <w:rPr>
          <w:rFonts w:cstheme="minorHAnsi"/>
        </w:rPr>
        <w:t xml:space="preserve"> </w:t>
      </w:r>
      <w:r w:rsidR="008522B7">
        <w:rPr>
          <w:rFonts w:cstheme="minorHAnsi"/>
        </w:rPr>
        <w:t>2023.ga</w:t>
      </w:r>
      <w:r w:rsidR="002B195A">
        <w:rPr>
          <w:rFonts w:cstheme="minorHAnsi"/>
        </w:rPr>
        <w:t xml:space="preserve">dā -69 638 euro; </w:t>
      </w:r>
      <w:r w:rsidRPr="00DB6C58">
        <w:rPr>
          <w:rFonts w:cstheme="minorHAnsi"/>
        </w:rPr>
        <w:t>202</w:t>
      </w:r>
      <w:r w:rsidR="00947B67" w:rsidRPr="00DB6C58">
        <w:rPr>
          <w:rFonts w:cstheme="minorHAnsi"/>
        </w:rPr>
        <w:t>2</w:t>
      </w:r>
      <w:r w:rsidRPr="00DB6C58">
        <w:rPr>
          <w:rFonts w:cstheme="minorHAnsi"/>
        </w:rPr>
        <w:t xml:space="preserve">.gadā </w:t>
      </w:r>
      <w:r w:rsidR="00947B67" w:rsidRPr="00DB6C58">
        <w:rPr>
          <w:rFonts w:cstheme="minorHAnsi"/>
        </w:rPr>
        <w:t>397 718</w:t>
      </w:r>
      <w:r w:rsidRPr="00DB6C58">
        <w:rPr>
          <w:rFonts w:cstheme="minorHAnsi"/>
        </w:rPr>
        <w:t xml:space="preserve"> euro, 20</w:t>
      </w:r>
      <w:r w:rsidR="008558D6" w:rsidRPr="00DB6C58">
        <w:rPr>
          <w:rFonts w:cstheme="minorHAnsi"/>
        </w:rPr>
        <w:t>2</w:t>
      </w:r>
      <w:r w:rsidR="00947B67" w:rsidRPr="00DB6C58">
        <w:rPr>
          <w:rFonts w:cstheme="minorHAnsi"/>
        </w:rPr>
        <w:t>1</w:t>
      </w:r>
      <w:r w:rsidRPr="00DB6C58">
        <w:rPr>
          <w:rFonts w:cstheme="minorHAnsi"/>
        </w:rPr>
        <w:t xml:space="preserve">.gadā </w:t>
      </w:r>
      <w:r w:rsidR="00947B67" w:rsidRPr="00DB6C58">
        <w:rPr>
          <w:rFonts w:cstheme="minorHAnsi"/>
        </w:rPr>
        <w:t>187 215</w:t>
      </w:r>
      <w:r w:rsidR="00A34111" w:rsidRPr="00DB6C58">
        <w:rPr>
          <w:rFonts w:cstheme="minorHAnsi"/>
        </w:rPr>
        <w:t xml:space="preserve"> euro).</w:t>
      </w:r>
      <w:r w:rsidR="00947B67" w:rsidRPr="00DB6C58">
        <w:rPr>
          <w:rFonts w:cstheme="minorHAnsi"/>
        </w:rPr>
        <w:t xml:space="preserve"> Iemesls</w:t>
      </w:r>
      <w:r w:rsidR="00947B67">
        <w:rPr>
          <w:rFonts w:cstheme="minorHAnsi"/>
        </w:rPr>
        <w:t xml:space="preserve"> ir </w:t>
      </w:r>
      <w:r w:rsidR="00310BAA">
        <w:rPr>
          <w:rFonts w:cstheme="minorHAnsi"/>
        </w:rPr>
        <w:t xml:space="preserve">izmaksu </w:t>
      </w:r>
      <w:r w:rsidR="00375B32">
        <w:rPr>
          <w:rFonts w:cstheme="minorHAnsi"/>
        </w:rPr>
        <w:t>pieaugums un neto apgrozījuma samērā neliels pieaugums</w:t>
      </w:r>
      <w:r w:rsidR="00F5118F">
        <w:rPr>
          <w:rFonts w:cstheme="minorHAnsi"/>
        </w:rPr>
        <w:t xml:space="preserve">, jo </w:t>
      </w:r>
      <w:r w:rsidR="00F65FED">
        <w:rPr>
          <w:rFonts w:cstheme="minorHAnsi"/>
        </w:rPr>
        <w:t xml:space="preserve">NVD apmaksas tarifs par veselības aprūpes pakalpojumiem nav mainīts kopš </w:t>
      </w:r>
      <w:r w:rsidR="00071258">
        <w:rPr>
          <w:rFonts w:cstheme="minorHAnsi"/>
        </w:rPr>
        <w:t>2024.gada</w:t>
      </w:r>
      <w:r w:rsidR="00C57550">
        <w:rPr>
          <w:rFonts w:cstheme="minorHAnsi"/>
        </w:rPr>
        <w:t>.</w:t>
      </w:r>
    </w:p>
    <w:p w14:paraId="1769C572" w14:textId="3C3A151D" w:rsidR="001C221E" w:rsidRDefault="005F5952" w:rsidP="00FA2AE6">
      <w:pPr>
        <w:spacing w:before="100" w:beforeAutospacing="1" w:after="100" w:afterAutospacing="1"/>
        <w:jc w:val="both"/>
        <w:rPr>
          <w:rFonts w:cstheme="minorHAnsi"/>
        </w:rPr>
      </w:pPr>
      <w:r w:rsidRPr="00267BEC">
        <w:rPr>
          <w:rFonts w:cstheme="minorHAnsi"/>
        </w:rPr>
        <w:t xml:space="preserve">Sabiedrības naudas plūsmā naudas līdzekļu atlikums pārskata perioda beigās </w:t>
      </w:r>
      <w:r w:rsidR="00C30930">
        <w:rPr>
          <w:rFonts w:cstheme="minorHAnsi"/>
        </w:rPr>
        <w:t>palielinājie</w:t>
      </w:r>
      <w:r w:rsidR="003C24D1" w:rsidRPr="00267BEC">
        <w:rPr>
          <w:rFonts w:cstheme="minorHAnsi"/>
        </w:rPr>
        <w:t>s</w:t>
      </w:r>
      <w:r w:rsidRPr="00267BEC">
        <w:rPr>
          <w:rFonts w:cstheme="minorHAnsi"/>
        </w:rPr>
        <w:t xml:space="preserve"> par </w:t>
      </w:r>
      <w:r w:rsidR="00C30930">
        <w:rPr>
          <w:rFonts w:cstheme="minorHAnsi"/>
        </w:rPr>
        <w:t>377 892</w:t>
      </w:r>
      <w:r w:rsidR="00375B32">
        <w:rPr>
          <w:rFonts w:cstheme="minorHAnsi"/>
        </w:rPr>
        <w:t xml:space="preserve"> </w:t>
      </w:r>
      <w:r w:rsidRPr="00267BEC">
        <w:rPr>
          <w:rFonts w:cstheme="minorHAnsi"/>
        </w:rPr>
        <w:t xml:space="preserve">euro , salīdzinot ar </w:t>
      </w:r>
      <w:r w:rsidR="00AB5B66" w:rsidRPr="00267BEC">
        <w:rPr>
          <w:rFonts w:cstheme="minorHAnsi"/>
        </w:rPr>
        <w:t>202</w:t>
      </w:r>
      <w:r w:rsidR="00C30930">
        <w:rPr>
          <w:rFonts w:cstheme="minorHAnsi"/>
        </w:rPr>
        <w:t>6</w:t>
      </w:r>
      <w:r w:rsidR="00AB5B66" w:rsidRPr="00267BEC">
        <w:rPr>
          <w:rFonts w:cstheme="minorHAnsi"/>
        </w:rPr>
        <w:t>.gada</w:t>
      </w:r>
      <w:r w:rsidRPr="00267BEC">
        <w:rPr>
          <w:rFonts w:cstheme="minorHAnsi"/>
        </w:rPr>
        <w:t xml:space="preserve"> sākumu, bet pret plānu novirze par </w:t>
      </w:r>
      <w:r w:rsidR="000C0FB9">
        <w:rPr>
          <w:rFonts w:cstheme="minorHAnsi"/>
        </w:rPr>
        <w:t>646 629</w:t>
      </w:r>
      <w:r w:rsidRPr="00267BEC">
        <w:rPr>
          <w:rFonts w:cstheme="minorHAnsi"/>
        </w:rPr>
        <w:t xml:space="preserve"> euro (plānots </w:t>
      </w:r>
      <w:r w:rsidR="000C0FB9">
        <w:rPr>
          <w:rFonts w:cstheme="minorHAnsi"/>
        </w:rPr>
        <w:t>2 457 274</w:t>
      </w:r>
      <w:r w:rsidR="00B23D81" w:rsidRPr="00267BEC">
        <w:rPr>
          <w:rFonts w:cstheme="minorHAnsi"/>
        </w:rPr>
        <w:t xml:space="preserve"> </w:t>
      </w:r>
      <w:r w:rsidRPr="00267BEC">
        <w:rPr>
          <w:rFonts w:cstheme="minorHAnsi"/>
        </w:rPr>
        <w:t>euro)</w:t>
      </w:r>
      <w:r w:rsidR="002E41B5" w:rsidRPr="00267BEC">
        <w:rPr>
          <w:rFonts w:cstheme="minorHAnsi"/>
        </w:rPr>
        <w:t>.</w:t>
      </w:r>
      <w:r w:rsidR="000C0FB9">
        <w:rPr>
          <w:rFonts w:cstheme="minorHAnsi"/>
        </w:rPr>
        <w:t xml:space="preserve"> Tas saistīts ar 2026.gada 1.cet</w:t>
      </w:r>
      <w:r w:rsidR="00A42F88">
        <w:rPr>
          <w:rFonts w:cstheme="minorHAnsi"/>
        </w:rPr>
        <w:t xml:space="preserve">urksnī nesaņemto CFLA avansa maksājumu </w:t>
      </w:r>
      <w:r w:rsidR="00A42F88" w:rsidRPr="00D923A3">
        <w:rPr>
          <w:rFonts w:ascii="Calibri" w:hAnsi="Calibri" w:cs="Calibri"/>
          <w:lang w:eastAsia="lv-LV"/>
        </w:rPr>
        <w:t>ES projekta  “Psihiskās veselības iestāžu infrastruktūras attīstība”, Nr.4.1.1.1/3/24/I/001</w:t>
      </w:r>
      <w:r w:rsidR="00A42F88">
        <w:rPr>
          <w:rFonts w:ascii="Calibri" w:hAnsi="Calibri" w:cs="Calibri"/>
          <w:lang w:eastAsia="lv-LV"/>
        </w:rPr>
        <w:t xml:space="preserve">  2026.gada aktivitāšu īstenošanai.</w:t>
      </w:r>
    </w:p>
    <w:p w14:paraId="6AFA8B50" w14:textId="6DF4CA91" w:rsidR="005F5952" w:rsidRPr="003D07A2" w:rsidRDefault="005F5952" w:rsidP="00FA2AE6">
      <w:pPr>
        <w:spacing w:before="100" w:beforeAutospacing="1" w:after="100" w:afterAutospacing="1"/>
        <w:jc w:val="both"/>
        <w:rPr>
          <w:rFonts w:cstheme="minorHAnsi"/>
        </w:rPr>
      </w:pPr>
      <w:r w:rsidRPr="00267BEC">
        <w:rPr>
          <w:rFonts w:cstheme="minorHAnsi"/>
        </w:rPr>
        <w:lastRenderedPageBreak/>
        <w:t>Plānot</w:t>
      </w:r>
      <w:r w:rsidR="00C35EA7" w:rsidRPr="00267BEC">
        <w:rPr>
          <w:rFonts w:cstheme="minorHAnsi"/>
        </w:rPr>
        <w:t>ais</w:t>
      </w:r>
      <w:r w:rsidRPr="00267BEC">
        <w:rPr>
          <w:rFonts w:cstheme="minorHAnsi"/>
        </w:rPr>
        <w:t xml:space="preserve"> kopēj</w:t>
      </w:r>
      <w:r w:rsidR="00C35EA7" w:rsidRPr="00267BEC">
        <w:rPr>
          <w:rFonts w:cstheme="minorHAnsi"/>
        </w:rPr>
        <w:t xml:space="preserve">ais </w:t>
      </w:r>
      <w:r w:rsidRPr="00267BEC">
        <w:rPr>
          <w:rFonts w:cstheme="minorHAnsi"/>
        </w:rPr>
        <w:t>likviditāte</w:t>
      </w:r>
      <w:r w:rsidR="00C35EA7" w:rsidRPr="00267BEC">
        <w:rPr>
          <w:rFonts w:cstheme="minorHAnsi"/>
        </w:rPr>
        <w:t>s rādītājs</w:t>
      </w:r>
      <w:r w:rsidRPr="00267BEC">
        <w:rPr>
          <w:rFonts w:cstheme="minorHAnsi"/>
        </w:rPr>
        <w:t xml:space="preserve"> pārskata periodā ir</w:t>
      </w:r>
      <w:r w:rsidR="00C06C05" w:rsidRPr="00267BEC">
        <w:rPr>
          <w:rFonts w:cstheme="minorHAnsi"/>
        </w:rPr>
        <w:t xml:space="preserve"> </w:t>
      </w:r>
      <w:r w:rsidR="00221ECA">
        <w:rPr>
          <w:rFonts w:cstheme="minorHAnsi"/>
        </w:rPr>
        <w:t>2.1</w:t>
      </w:r>
      <w:r w:rsidR="00310196">
        <w:rPr>
          <w:rFonts w:cstheme="minorHAnsi"/>
        </w:rPr>
        <w:t xml:space="preserve"> (faktiski </w:t>
      </w:r>
      <w:r w:rsidR="00221ECA">
        <w:rPr>
          <w:rFonts w:cstheme="minorHAnsi"/>
        </w:rPr>
        <w:t xml:space="preserve">2025.gadā 1.73; </w:t>
      </w:r>
      <w:r w:rsidR="00310196">
        <w:rPr>
          <w:rFonts w:cstheme="minorHAnsi"/>
        </w:rPr>
        <w:t>2024.gadā 1.72</w:t>
      </w:r>
      <w:r w:rsidR="00F70BB2">
        <w:rPr>
          <w:rFonts w:cstheme="minorHAnsi"/>
        </w:rPr>
        <w:t xml:space="preserve"> 2023.gadaā- </w:t>
      </w:r>
      <w:r w:rsidR="00520EE7" w:rsidRPr="00267BEC">
        <w:rPr>
          <w:rFonts w:cstheme="minorHAnsi"/>
        </w:rPr>
        <w:t>1.</w:t>
      </w:r>
      <w:r w:rsidR="00A97D46">
        <w:rPr>
          <w:rFonts w:cstheme="minorHAnsi"/>
        </w:rPr>
        <w:t>69</w:t>
      </w:r>
      <w:r w:rsidRPr="00267BEC">
        <w:rPr>
          <w:rFonts w:cstheme="minorHAnsi"/>
        </w:rPr>
        <w:t xml:space="preserve">, </w:t>
      </w:r>
      <w:r w:rsidR="00A97D46">
        <w:rPr>
          <w:rFonts w:cstheme="minorHAnsi"/>
        </w:rPr>
        <w:t>2022.gadā -1.66</w:t>
      </w:r>
      <w:r w:rsidR="00310196">
        <w:rPr>
          <w:rFonts w:cstheme="minorHAnsi"/>
        </w:rPr>
        <w:t>;</w:t>
      </w:r>
      <w:r w:rsidR="00A97D46">
        <w:rPr>
          <w:rFonts w:cstheme="minorHAnsi"/>
        </w:rPr>
        <w:t xml:space="preserve"> </w:t>
      </w:r>
      <w:r w:rsidR="00C35EA7" w:rsidRPr="00267BEC">
        <w:rPr>
          <w:rFonts w:cstheme="minorHAnsi"/>
        </w:rPr>
        <w:t>20</w:t>
      </w:r>
      <w:r w:rsidR="00520EE7" w:rsidRPr="00267BEC">
        <w:rPr>
          <w:rFonts w:cstheme="minorHAnsi"/>
        </w:rPr>
        <w:t>2</w:t>
      </w:r>
      <w:r w:rsidR="002E5B69" w:rsidRPr="00267BEC">
        <w:rPr>
          <w:rFonts w:cstheme="minorHAnsi"/>
        </w:rPr>
        <w:t>1</w:t>
      </w:r>
      <w:r w:rsidR="00C35EA7" w:rsidRPr="00267BEC">
        <w:rPr>
          <w:rFonts w:cstheme="minorHAnsi"/>
        </w:rPr>
        <w:t>.gad</w:t>
      </w:r>
      <w:r w:rsidR="00A1190D" w:rsidRPr="00267BEC">
        <w:rPr>
          <w:rFonts w:cstheme="minorHAnsi"/>
        </w:rPr>
        <w:t>ā</w:t>
      </w:r>
      <w:r w:rsidR="00C35EA7" w:rsidRPr="00267BEC">
        <w:rPr>
          <w:rFonts w:cstheme="minorHAnsi"/>
        </w:rPr>
        <w:t xml:space="preserve"> – 1.</w:t>
      </w:r>
      <w:r w:rsidR="002E5B69" w:rsidRPr="00267BEC">
        <w:rPr>
          <w:rFonts w:cstheme="minorHAnsi"/>
        </w:rPr>
        <w:t>44</w:t>
      </w:r>
      <w:r w:rsidR="00310196">
        <w:rPr>
          <w:rFonts w:cstheme="minorHAnsi"/>
        </w:rPr>
        <w:t>)</w:t>
      </w:r>
      <w:r w:rsidR="00C35EA7" w:rsidRPr="00267BEC">
        <w:rPr>
          <w:rFonts w:cstheme="minorHAnsi"/>
        </w:rPr>
        <w:t xml:space="preserve">, pārskata periodā </w:t>
      </w:r>
      <w:r w:rsidRPr="00267BEC">
        <w:rPr>
          <w:rFonts w:cstheme="minorHAnsi"/>
        </w:rPr>
        <w:t xml:space="preserve">faktiski </w:t>
      </w:r>
      <w:r w:rsidR="00C35EA7" w:rsidRPr="00267BEC">
        <w:rPr>
          <w:rFonts w:cstheme="minorHAnsi"/>
        </w:rPr>
        <w:t>–</w:t>
      </w:r>
      <w:r w:rsidRPr="00267BEC">
        <w:rPr>
          <w:rFonts w:cstheme="minorHAnsi"/>
        </w:rPr>
        <w:t xml:space="preserve"> </w:t>
      </w:r>
      <w:r w:rsidR="00A1190D" w:rsidRPr="00267BEC">
        <w:rPr>
          <w:rFonts w:cstheme="minorHAnsi"/>
        </w:rPr>
        <w:t>1.</w:t>
      </w:r>
      <w:r w:rsidR="00F1181E">
        <w:rPr>
          <w:rFonts w:cstheme="minorHAnsi"/>
        </w:rPr>
        <w:t>7</w:t>
      </w:r>
      <w:r w:rsidR="00BE6248">
        <w:rPr>
          <w:rFonts w:cstheme="minorHAnsi"/>
        </w:rPr>
        <w:t>3</w:t>
      </w:r>
      <w:r w:rsidR="00C35EA7" w:rsidRPr="00267BEC">
        <w:rPr>
          <w:rFonts w:cstheme="minorHAnsi"/>
        </w:rPr>
        <w:t xml:space="preserve">. Likviditāti ietekmē </w:t>
      </w:r>
      <w:r w:rsidR="00310196">
        <w:rPr>
          <w:rFonts w:cstheme="minorHAnsi"/>
        </w:rPr>
        <w:t xml:space="preserve">apgrozāmo līdzekļu </w:t>
      </w:r>
      <w:r w:rsidR="00BE6248">
        <w:rPr>
          <w:rFonts w:cstheme="minorHAnsi"/>
        </w:rPr>
        <w:t xml:space="preserve">neliels </w:t>
      </w:r>
      <w:r w:rsidR="00310196">
        <w:rPr>
          <w:rFonts w:cstheme="minorHAnsi"/>
        </w:rPr>
        <w:t>pieaugums</w:t>
      </w:r>
      <w:r w:rsidR="005531FB">
        <w:rPr>
          <w:rFonts w:cstheme="minorHAnsi"/>
        </w:rPr>
        <w:t>.</w:t>
      </w:r>
    </w:p>
    <w:p w14:paraId="675CC5CD" w14:textId="77777777" w:rsidR="00D21AA3" w:rsidRDefault="00D21AA3" w:rsidP="008D79D0">
      <w:pPr>
        <w:spacing w:after="0"/>
        <w:rPr>
          <w:rFonts w:cstheme="minorHAnsi"/>
          <w:b/>
          <w:bCs/>
        </w:rPr>
      </w:pPr>
    </w:p>
    <w:p w14:paraId="3FB3132D" w14:textId="79985FCA" w:rsidR="008D79D0" w:rsidRPr="003D07A2" w:rsidRDefault="008D79D0" w:rsidP="008D79D0">
      <w:pPr>
        <w:spacing w:after="0"/>
        <w:rPr>
          <w:rFonts w:cstheme="minorHAnsi"/>
          <w:b/>
          <w:bCs/>
        </w:rPr>
      </w:pPr>
      <w:r w:rsidRPr="003D07A2">
        <w:rPr>
          <w:rFonts w:cstheme="minorHAnsi"/>
          <w:b/>
          <w:bCs/>
        </w:rPr>
        <w:t>Ieguldījumi Sabiedrības infrastruktūrā</w:t>
      </w:r>
    </w:p>
    <w:p w14:paraId="56870886" w14:textId="177BDC72" w:rsidR="00521F16" w:rsidRDefault="00B63C01" w:rsidP="00BE6248">
      <w:pPr>
        <w:spacing w:before="100" w:beforeAutospacing="1" w:after="100" w:afterAutospacing="1"/>
        <w:jc w:val="both"/>
        <w:rPr>
          <w:rFonts w:cstheme="minorHAnsi"/>
        </w:rPr>
      </w:pPr>
      <w:r w:rsidRPr="003D07A2">
        <w:rPr>
          <w:rFonts w:cstheme="minorHAnsi"/>
        </w:rPr>
        <w:t xml:space="preserve">Kopā Sabiedrība pārskata periodā ir veikusi ilgtermiņa ieguldījumus </w:t>
      </w:r>
      <w:r w:rsidR="009325FF">
        <w:rPr>
          <w:rFonts w:cstheme="minorHAnsi"/>
        </w:rPr>
        <w:t xml:space="preserve"> </w:t>
      </w:r>
      <w:r w:rsidR="00B92075">
        <w:rPr>
          <w:rFonts w:cstheme="minorHAnsi"/>
        </w:rPr>
        <w:t>12 081</w:t>
      </w:r>
      <w:r w:rsidR="009325FF">
        <w:rPr>
          <w:rFonts w:cstheme="minorHAnsi"/>
        </w:rPr>
        <w:t xml:space="preserve"> euro </w:t>
      </w:r>
      <w:r w:rsidR="00531ECF">
        <w:rPr>
          <w:rFonts w:cstheme="minorHAnsi"/>
        </w:rPr>
        <w:t>(</w:t>
      </w:r>
      <w:r w:rsidR="00973808">
        <w:rPr>
          <w:rFonts w:cstheme="minorHAnsi"/>
        </w:rPr>
        <w:t xml:space="preserve">salīdzināmā periodā </w:t>
      </w:r>
      <w:r w:rsidR="00CE01C7">
        <w:rPr>
          <w:rFonts w:cstheme="minorHAnsi"/>
        </w:rPr>
        <w:t>2025.gadā 25</w:t>
      </w:r>
      <w:r w:rsidR="00973808">
        <w:rPr>
          <w:rFonts w:cstheme="minorHAnsi"/>
        </w:rPr>
        <w:t> </w:t>
      </w:r>
      <w:r w:rsidR="00CE01C7">
        <w:rPr>
          <w:rFonts w:cstheme="minorHAnsi"/>
        </w:rPr>
        <w:t>954</w:t>
      </w:r>
      <w:r w:rsidR="00973808">
        <w:rPr>
          <w:rFonts w:cstheme="minorHAnsi"/>
        </w:rPr>
        <w:t xml:space="preserve"> euro; </w:t>
      </w:r>
      <w:r w:rsidR="00BE6248">
        <w:rPr>
          <w:rFonts w:cstheme="minorHAnsi"/>
        </w:rPr>
        <w:t xml:space="preserve">2024.gadā 36 914 euro; </w:t>
      </w:r>
      <w:r w:rsidR="009325FF">
        <w:rPr>
          <w:rFonts w:cstheme="minorHAnsi"/>
        </w:rPr>
        <w:t xml:space="preserve">2023.gadā 14 029 euro; </w:t>
      </w:r>
      <w:r w:rsidR="00531ECF">
        <w:rPr>
          <w:rFonts w:cstheme="minorHAnsi"/>
        </w:rPr>
        <w:t xml:space="preserve">2022.gadā periodā </w:t>
      </w:r>
      <w:r w:rsidR="00687F12">
        <w:rPr>
          <w:rFonts w:cstheme="minorHAnsi"/>
        </w:rPr>
        <w:t>48 692</w:t>
      </w:r>
      <w:r w:rsidRPr="003D07A2">
        <w:rPr>
          <w:rFonts w:cstheme="minorHAnsi"/>
        </w:rPr>
        <w:t xml:space="preserve"> euro </w:t>
      </w:r>
      <w:r w:rsidR="00531ECF">
        <w:rPr>
          <w:rFonts w:cstheme="minorHAnsi"/>
        </w:rPr>
        <w:t xml:space="preserve">) </w:t>
      </w:r>
      <w:r w:rsidRPr="003D07A2">
        <w:rPr>
          <w:rFonts w:cstheme="minorHAnsi"/>
        </w:rPr>
        <w:t>apmērā (saskaņā ar naudas plūsmu)</w:t>
      </w:r>
      <w:r w:rsidR="0081644D">
        <w:rPr>
          <w:rFonts w:cstheme="minorHAnsi"/>
        </w:rPr>
        <w:t xml:space="preserve">. </w:t>
      </w:r>
    </w:p>
    <w:p w14:paraId="142603B1" w14:textId="3783CE1D" w:rsidR="007B12D7" w:rsidRPr="003D07A2" w:rsidRDefault="00B63C01" w:rsidP="00FA2AE6">
      <w:pPr>
        <w:spacing w:before="100" w:beforeAutospacing="1" w:after="100" w:afterAutospacing="1"/>
        <w:jc w:val="center"/>
        <w:rPr>
          <w:rFonts w:cstheme="minorHAnsi"/>
        </w:rPr>
      </w:pPr>
      <w:r w:rsidRPr="003D07A2">
        <w:rPr>
          <w:rFonts w:cstheme="minorHAnsi"/>
          <w:b/>
          <w:bCs/>
        </w:rPr>
        <w:t>Ieguldījumi</w:t>
      </w:r>
      <w:r w:rsidRPr="003D07A2">
        <w:rPr>
          <w:rFonts w:cstheme="minorHAnsi"/>
        </w:rPr>
        <w:t>, euro</w:t>
      </w:r>
    </w:p>
    <w:tbl>
      <w:tblPr>
        <w:tblStyle w:val="Reatabula"/>
        <w:tblW w:w="8296" w:type="dxa"/>
        <w:tblLayout w:type="fixed"/>
        <w:tblLook w:val="04A0" w:firstRow="1" w:lastRow="0" w:firstColumn="1" w:lastColumn="0" w:noHBand="0" w:noVBand="1"/>
      </w:tblPr>
      <w:tblGrid>
        <w:gridCol w:w="2689"/>
        <w:gridCol w:w="1134"/>
        <w:gridCol w:w="992"/>
        <w:gridCol w:w="1134"/>
        <w:gridCol w:w="1338"/>
        <w:gridCol w:w="1009"/>
      </w:tblGrid>
      <w:tr w:rsidR="00CC4E71" w:rsidRPr="003D07A2" w14:paraId="3AE4DF3B" w14:textId="77777777" w:rsidTr="00CC4E71">
        <w:trPr>
          <w:trHeight w:val="877"/>
        </w:trPr>
        <w:tc>
          <w:tcPr>
            <w:tcW w:w="2689" w:type="dxa"/>
            <w:vAlign w:val="center"/>
          </w:tcPr>
          <w:p w14:paraId="11685281" w14:textId="77777777" w:rsidR="00CC4E71" w:rsidRPr="003D07A2" w:rsidRDefault="00CC4E71" w:rsidP="00CC4E71">
            <w:pPr>
              <w:jc w:val="center"/>
              <w:rPr>
                <w:rFonts w:cstheme="minorHAnsi"/>
              </w:rPr>
            </w:pPr>
            <w:r w:rsidRPr="003D07A2">
              <w:rPr>
                <w:rFonts w:cstheme="minorHAnsi"/>
              </w:rPr>
              <w:t>Ieguldījumu pozīcija</w:t>
            </w:r>
          </w:p>
        </w:tc>
        <w:tc>
          <w:tcPr>
            <w:tcW w:w="1134" w:type="dxa"/>
            <w:vAlign w:val="center"/>
          </w:tcPr>
          <w:p w14:paraId="32F58F0B" w14:textId="179D4CEA" w:rsidR="00CC4E71" w:rsidRPr="003D07A2" w:rsidRDefault="00CC4E71" w:rsidP="00CC4E71">
            <w:pPr>
              <w:jc w:val="center"/>
              <w:rPr>
                <w:rFonts w:cstheme="minorHAnsi"/>
              </w:rPr>
            </w:pPr>
            <w:r w:rsidRPr="003D07A2">
              <w:rPr>
                <w:rFonts w:cstheme="minorHAnsi"/>
              </w:rPr>
              <w:t>202</w:t>
            </w:r>
            <w:r w:rsidR="00EF3525">
              <w:rPr>
                <w:rFonts w:cstheme="minorHAnsi"/>
              </w:rPr>
              <w:t>5</w:t>
            </w:r>
            <w:r w:rsidRPr="003D07A2">
              <w:rPr>
                <w:rFonts w:cstheme="minorHAnsi"/>
              </w:rPr>
              <w:t>.g. fakts</w:t>
            </w:r>
          </w:p>
        </w:tc>
        <w:tc>
          <w:tcPr>
            <w:tcW w:w="992" w:type="dxa"/>
            <w:vAlign w:val="center"/>
          </w:tcPr>
          <w:p w14:paraId="142B679C" w14:textId="7633586B" w:rsidR="00CC4E71" w:rsidRPr="003D07A2" w:rsidRDefault="00CC4E71" w:rsidP="00CC4E71">
            <w:pPr>
              <w:jc w:val="center"/>
              <w:rPr>
                <w:rFonts w:cstheme="minorHAnsi"/>
              </w:rPr>
            </w:pPr>
            <w:r w:rsidRPr="003D07A2">
              <w:rPr>
                <w:rFonts w:cstheme="minorHAnsi"/>
              </w:rPr>
              <w:t>202</w:t>
            </w:r>
            <w:r w:rsidR="00EF3525">
              <w:rPr>
                <w:rFonts w:cstheme="minorHAnsi"/>
              </w:rPr>
              <w:t>6</w:t>
            </w:r>
            <w:r w:rsidRPr="003D07A2">
              <w:rPr>
                <w:rFonts w:cstheme="minorHAnsi"/>
              </w:rPr>
              <w:t>.g. plāns</w:t>
            </w:r>
          </w:p>
        </w:tc>
        <w:tc>
          <w:tcPr>
            <w:tcW w:w="1134" w:type="dxa"/>
            <w:vAlign w:val="center"/>
          </w:tcPr>
          <w:p w14:paraId="60327C26" w14:textId="1F8826B1" w:rsidR="00CC4E71" w:rsidRPr="003D07A2" w:rsidRDefault="00CC4E71" w:rsidP="00CC4E71">
            <w:pPr>
              <w:jc w:val="center"/>
              <w:rPr>
                <w:rFonts w:cstheme="minorHAnsi"/>
              </w:rPr>
            </w:pPr>
            <w:r w:rsidRPr="003D07A2">
              <w:rPr>
                <w:rFonts w:cstheme="minorHAnsi"/>
              </w:rPr>
              <w:t>202</w:t>
            </w:r>
            <w:r w:rsidR="00EF3525">
              <w:rPr>
                <w:rFonts w:cstheme="minorHAnsi"/>
              </w:rPr>
              <w:t>6</w:t>
            </w:r>
            <w:r w:rsidRPr="003D07A2">
              <w:rPr>
                <w:rFonts w:cstheme="minorHAnsi"/>
              </w:rPr>
              <w:t>.g. fakts</w:t>
            </w:r>
          </w:p>
        </w:tc>
        <w:tc>
          <w:tcPr>
            <w:tcW w:w="1338" w:type="dxa"/>
            <w:vAlign w:val="center"/>
          </w:tcPr>
          <w:p w14:paraId="0BD1ABA7" w14:textId="6A8C5232" w:rsidR="00CC4E71" w:rsidRPr="003D07A2" w:rsidRDefault="00CC4E71" w:rsidP="00CC4E71">
            <w:pPr>
              <w:jc w:val="center"/>
              <w:rPr>
                <w:rFonts w:cstheme="minorHAnsi"/>
              </w:rPr>
            </w:pPr>
            <w:r w:rsidRPr="003D07A2">
              <w:rPr>
                <w:rFonts w:cstheme="minorHAnsi"/>
              </w:rPr>
              <w:t>Novirze pret 20</w:t>
            </w:r>
            <w:r>
              <w:rPr>
                <w:rFonts w:cstheme="minorHAnsi"/>
              </w:rPr>
              <w:t>2</w:t>
            </w:r>
            <w:r w:rsidR="00EF3525">
              <w:rPr>
                <w:rFonts w:cstheme="minorHAnsi"/>
              </w:rPr>
              <w:t>5</w:t>
            </w:r>
            <w:r w:rsidRPr="003D07A2">
              <w:rPr>
                <w:rFonts w:cstheme="minorHAnsi"/>
              </w:rPr>
              <w:t>.g.</w:t>
            </w:r>
          </w:p>
        </w:tc>
        <w:tc>
          <w:tcPr>
            <w:tcW w:w="1009" w:type="dxa"/>
            <w:vAlign w:val="center"/>
          </w:tcPr>
          <w:p w14:paraId="05B2E416" w14:textId="77777777" w:rsidR="00CC4E71" w:rsidRPr="003D07A2" w:rsidRDefault="00CC4E71" w:rsidP="00CC4E71">
            <w:pPr>
              <w:jc w:val="center"/>
              <w:rPr>
                <w:rFonts w:cstheme="minorHAnsi"/>
              </w:rPr>
            </w:pPr>
            <w:r w:rsidRPr="003D07A2">
              <w:rPr>
                <w:rFonts w:cstheme="minorHAnsi"/>
              </w:rPr>
              <w:t>Novirze pret plānu</w:t>
            </w:r>
          </w:p>
        </w:tc>
      </w:tr>
      <w:tr w:rsidR="00EF3525" w:rsidRPr="003D07A2" w14:paraId="18DE76F8" w14:textId="77777777" w:rsidTr="00CC4E71">
        <w:tc>
          <w:tcPr>
            <w:tcW w:w="2689" w:type="dxa"/>
          </w:tcPr>
          <w:p w14:paraId="7954BFF5" w14:textId="77777777" w:rsidR="00EF3525" w:rsidRPr="003D07A2" w:rsidRDefault="00EF3525" w:rsidP="00EF3525">
            <w:pPr>
              <w:rPr>
                <w:rFonts w:cstheme="minorHAnsi"/>
              </w:rPr>
            </w:pPr>
            <w:r w:rsidRPr="003D07A2">
              <w:rPr>
                <w:rFonts w:cstheme="minorHAnsi"/>
              </w:rPr>
              <w:t>Nemateriālie ieguldījumi (licences)</w:t>
            </w:r>
          </w:p>
        </w:tc>
        <w:tc>
          <w:tcPr>
            <w:tcW w:w="1134" w:type="dxa"/>
            <w:vAlign w:val="center"/>
          </w:tcPr>
          <w:p w14:paraId="795C9B37" w14:textId="3C004629" w:rsidR="00EF3525" w:rsidRDefault="00EF3525" w:rsidP="00EF3525">
            <w:pPr>
              <w:jc w:val="center"/>
              <w:rPr>
                <w:rFonts w:cstheme="minorHAnsi"/>
              </w:rPr>
            </w:pPr>
            <w:r>
              <w:rPr>
                <w:rFonts w:cstheme="minorHAnsi"/>
              </w:rPr>
              <w:t>0</w:t>
            </w:r>
          </w:p>
        </w:tc>
        <w:tc>
          <w:tcPr>
            <w:tcW w:w="992" w:type="dxa"/>
            <w:vAlign w:val="center"/>
          </w:tcPr>
          <w:p w14:paraId="33904CEE" w14:textId="2DE8C6FB" w:rsidR="00EF3525" w:rsidRPr="003D07A2" w:rsidRDefault="00EF3525" w:rsidP="00EF3525">
            <w:pPr>
              <w:jc w:val="center"/>
              <w:rPr>
                <w:rFonts w:cstheme="minorHAnsi"/>
              </w:rPr>
            </w:pPr>
            <w:r>
              <w:rPr>
                <w:rFonts w:cstheme="minorHAnsi"/>
              </w:rPr>
              <w:t>0</w:t>
            </w:r>
          </w:p>
        </w:tc>
        <w:tc>
          <w:tcPr>
            <w:tcW w:w="1134" w:type="dxa"/>
            <w:vAlign w:val="center"/>
          </w:tcPr>
          <w:p w14:paraId="41E41057" w14:textId="562651B1" w:rsidR="00EF3525" w:rsidRPr="003D07A2" w:rsidRDefault="00EF3525" w:rsidP="00EF3525">
            <w:pPr>
              <w:jc w:val="center"/>
              <w:rPr>
                <w:rFonts w:cstheme="minorHAnsi"/>
              </w:rPr>
            </w:pPr>
            <w:r>
              <w:rPr>
                <w:rFonts w:cstheme="minorHAnsi"/>
              </w:rPr>
              <w:t>0</w:t>
            </w:r>
          </w:p>
        </w:tc>
        <w:tc>
          <w:tcPr>
            <w:tcW w:w="1338" w:type="dxa"/>
            <w:vAlign w:val="center"/>
          </w:tcPr>
          <w:p w14:paraId="57A7A79E" w14:textId="4E7F85AE" w:rsidR="00EF3525" w:rsidRPr="003D07A2" w:rsidRDefault="00EF3525" w:rsidP="00EF3525">
            <w:pPr>
              <w:jc w:val="center"/>
              <w:rPr>
                <w:rFonts w:cstheme="minorHAnsi"/>
              </w:rPr>
            </w:pPr>
            <w:r>
              <w:rPr>
                <w:rFonts w:cstheme="minorHAnsi"/>
              </w:rPr>
              <w:t>0</w:t>
            </w:r>
          </w:p>
        </w:tc>
        <w:tc>
          <w:tcPr>
            <w:tcW w:w="1009" w:type="dxa"/>
            <w:vAlign w:val="center"/>
          </w:tcPr>
          <w:p w14:paraId="55D649EA" w14:textId="0A1C75B4" w:rsidR="00EF3525" w:rsidRPr="003D07A2" w:rsidRDefault="00EF3525" w:rsidP="00EF3525">
            <w:pPr>
              <w:jc w:val="center"/>
              <w:rPr>
                <w:rFonts w:cstheme="minorHAnsi"/>
              </w:rPr>
            </w:pPr>
            <w:r>
              <w:rPr>
                <w:rFonts w:cstheme="minorHAnsi"/>
              </w:rPr>
              <w:t>0</w:t>
            </w:r>
          </w:p>
        </w:tc>
      </w:tr>
      <w:tr w:rsidR="00EF3525" w:rsidRPr="003D07A2" w14:paraId="11047CE8" w14:textId="77777777" w:rsidTr="00CC4E71">
        <w:tc>
          <w:tcPr>
            <w:tcW w:w="2689" w:type="dxa"/>
          </w:tcPr>
          <w:p w14:paraId="2986BD38" w14:textId="77777777" w:rsidR="00EF3525" w:rsidRPr="003D07A2" w:rsidRDefault="00EF3525" w:rsidP="00EF3525">
            <w:pPr>
              <w:rPr>
                <w:rFonts w:cstheme="minorHAnsi"/>
              </w:rPr>
            </w:pPr>
            <w:r w:rsidRPr="003D07A2">
              <w:rPr>
                <w:rFonts w:cstheme="minorHAnsi"/>
              </w:rPr>
              <w:t>Nekustamais īpašums</w:t>
            </w:r>
          </w:p>
        </w:tc>
        <w:tc>
          <w:tcPr>
            <w:tcW w:w="1134" w:type="dxa"/>
            <w:vAlign w:val="center"/>
          </w:tcPr>
          <w:p w14:paraId="5638041C" w14:textId="4DC1ED4B" w:rsidR="00EF3525" w:rsidRDefault="00EF3525" w:rsidP="00EF3525">
            <w:pPr>
              <w:jc w:val="center"/>
              <w:rPr>
                <w:rFonts w:cstheme="minorHAnsi"/>
              </w:rPr>
            </w:pPr>
            <w:r>
              <w:rPr>
                <w:rFonts w:cstheme="minorHAnsi"/>
              </w:rPr>
              <w:t>5741</w:t>
            </w:r>
          </w:p>
        </w:tc>
        <w:tc>
          <w:tcPr>
            <w:tcW w:w="992" w:type="dxa"/>
            <w:vAlign w:val="center"/>
          </w:tcPr>
          <w:p w14:paraId="2F13B61A" w14:textId="2B824710" w:rsidR="00EF3525" w:rsidRPr="003D07A2" w:rsidRDefault="00EF3525" w:rsidP="00EF3525">
            <w:pPr>
              <w:jc w:val="center"/>
              <w:rPr>
                <w:rFonts w:cstheme="minorHAnsi"/>
              </w:rPr>
            </w:pPr>
            <w:r>
              <w:rPr>
                <w:rFonts w:cstheme="minorHAnsi"/>
              </w:rPr>
              <w:t>0</w:t>
            </w:r>
          </w:p>
        </w:tc>
        <w:tc>
          <w:tcPr>
            <w:tcW w:w="1134" w:type="dxa"/>
            <w:vAlign w:val="center"/>
          </w:tcPr>
          <w:p w14:paraId="223DD9EA" w14:textId="7F9E02DC" w:rsidR="00EF3525" w:rsidRPr="003D07A2" w:rsidRDefault="00EF3525" w:rsidP="00EF3525">
            <w:pPr>
              <w:jc w:val="center"/>
              <w:rPr>
                <w:rFonts w:cstheme="minorHAnsi"/>
              </w:rPr>
            </w:pPr>
            <w:r>
              <w:rPr>
                <w:rFonts w:cstheme="minorHAnsi"/>
              </w:rPr>
              <w:t>0</w:t>
            </w:r>
          </w:p>
        </w:tc>
        <w:tc>
          <w:tcPr>
            <w:tcW w:w="1338" w:type="dxa"/>
            <w:vAlign w:val="center"/>
          </w:tcPr>
          <w:p w14:paraId="39DDB103" w14:textId="0E064C21" w:rsidR="00EF3525" w:rsidRPr="003D07A2" w:rsidRDefault="00EF3525" w:rsidP="00EF3525">
            <w:pPr>
              <w:jc w:val="center"/>
              <w:rPr>
                <w:rFonts w:cstheme="minorHAnsi"/>
              </w:rPr>
            </w:pPr>
            <w:r>
              <w:rPr>
                <w:rFonts w:cstheme="minorHAnsi"/>
              </w:rPr>
              <w:t>-5741</w:t>
            </w:r>
          </w:p>
        </w:tc>
        <w:tc>
          <w:tcPr>
            <w:tcW w:w="1009" w:type="dxa"/>
            <w:vAlign w:val="center"/>
          </w:tcPr>
          <w:p w14:paraId="08DC931D" w14:textId="6CE7FA54" w:rsidR="00EF3525" w:rsidRPr="003D07A2" w:rsidRDefault="00EF3525" w:rsidP="00EF3525">
            <w:pPr>
              <w:jc w:val="center"/>
              <w:rPr>
                <w:rFonts w:cstheme="minorHAnsi"/>
              </w:rPr>
            </w:pPr>
            <w:r>
              <w:rPr>
                <w:rFonts w:cstheme="minorHAnsi"/>
              </w:rPr>
              <w:t>0</w:t>
            </w:r>
          </w:p>
        </w:tc>
      </w:tr>
      <w:tr w:rsidR="00EF3525" w:rsidRPr="003D07A2" w14:paraId="56018ADF" w14:textId="77777777" w:rsidTr="00CC4E71">
        <w:tc>
          <w:tcPr>
            <w:tcW w:w="2689" w:type="dxa"/>
          </w:tcPr>
          <w:p w14:paraId="74387AB0" w14:textId="77777777" w:rsidR="00EF3525" w:rsidRPr="003D07A2" w:rsidRDefault="00EF3525" w:rsidP="00EF3525">
            <w:pPr>
              <w:rPr>
                <w:rFonts w:cstheme="minorHAnsi"/>
              </w:rPr>
            </w:pPr>
            <w:r w:rsidRPr="003D07A2">
              <w:rPr>
                <w:rFonts w:cstheme="minorHAnsi"/>
              </w:rPr>
              <w:t>Tehnoloģiskās iekārtas</w:t>
            </w:r>
          </w:p>
        </w:tc>
        <w:tc>
          <w:tcPr>
            <w:tcW w:w="1134" w:type="dxa"/>
            <w:vAlign w:val="center"/>
          </w:tcPr>
          <w:p w14:paraId="11AAC2A2" w14:textId="151CEF25" w:rsidR="00EF3525" w:rsidRDefault="00EF3525" w:rsidP="00EF3525">
            <w:pPr>
              <w:jc w:val="center"/>
              <w:rPr>
                <w:rFonts w:cstheme="minorHAnsi"/>
              </w:rPr>
            </w:pPr>
            <w:r>
              <w:rPr>
                <w:rFonts w:cstheme="minorHAnsi"/>
              </w:rPr>
              <w:t>0</w:t>
            </w:r>
          </w:p>
        </w:tc>
        <w:tc>
          <w:tcPr>
            <w:tcW w:w="992" w:type="dxa"/>
            <w:vAlign w:val="center"/>
          </w:tcPr>
          <w:p w14:paraId="47F02D80" w14:textId="4E575D6D" w:rsidR="00EF3525" w:rsidRPr="003D07A2" w:rsidRDefault="00EF3525" w:rsidP="00EF3525">
            <w:pPr>
              <w:jc w:val="center"/>
              <w:rPr>
                <w:rFonts w:cstheme="minorHAnsi"/>
              </w:rPr>
            </w:pPr>
            <w:r>
              <w:rPr>
                <w:rFonts w:cstheme="minorHAnsi"/>
              </w:rPr>
              <w:t>0</w:t>
            </w:r>
          </w:p>
        </w:tc>
        <w:tc>
          <w:tcPr>
            <w:tcW w:w="1134" w:type="dxa"/>
            <w:vAlign w:val="center"/>
          </w:tcPr>
          <w:p w14:paraId="640E55B9" w14:textId="6D1CE70F" w:rsidR="00EF3525" w:rsidRPr="003D07A2" w:rsidRDefault="00E71009" w:rsidP="00EF3525">
            <w:pPr>
              <w:jc w:val="center"/>
              <w:rPr>
                <w:rFonts w:cstheme="minorHAnsi"/>
              </w:rPr>
            </w:pPr>
            <w:r>
              <w:rPr>
                <w:rFonts w:cstheme="minorHAnsi"/>
              </w:rPr>
              <w:t>636</w:t>
            </w:r>
          </w:p>
        </w:tc>
        <w:tc>
          <w:tcPr>
            <w:tcW w:w="1338" w:type="dxa"/>
            <w:vAlign w:val="center"/>
          </w:tcPr>
          <w:p w14:paraId="14FB8C53" w14:textId="4B2D388D" w:rsidR="00EF3525" w:rsidRPr="003D07A2" w:rsidRDefault="00E71009" w:rsidP="00EF3525">
            <w:pPr>
              <w:jc w:val="center"/>
              <w:rPr>
                <w:rFonts w:cstheme="minorHAnsi"/>
              </w:rPr>
            </w:pPr>
            <w:r>
              <w:rPr>
                <w:rFonts w:cstheme="minorHAnsi"/>
              </w:rPr>
              <w:t>+636</w:t>
            </w:r>
          </w:p>
        </w:tc>
        <w:tc>
          <w:tcPr>
            <w:tcW w:w="1009" w:type="dxa"/>
            <w:vAlign w:val="center"/>
          </w:tcPr>
          <w:p w14:paraId="11431822" w14:textId="31F0E800" w:rsidR="00EF3525" w:rsidRPr="003D07A2" w:rsidRDefault="00E71009" w:rsidP="00EF3525">
            <w:pPr>
              <w:jc w:val="center"/>
              <w:rPr>
                <w:rFonts w:cstheme="minorHAnsi"/>
              </w:rPr>
            </w:pPr>
            <w:r>
              <w:rPr>
                <w:rFonts w:cstheme="minorHAnsi"/>
              </w:rPr>
              <w:t>+636</w:t>
            </w:r>
          </w:p>
        </w:tc>
      </w:tr>
      <w:tr w:rsidR="00EF3525" w:rsidRPr="003D07A2" w14:paraId="55D1C51F" w14:textId="77777777" w:rsidTr="00CC4E71">
        <w:tc>
          <w:tcPr>
            <w:tcW w:w="2689" w:type="dxa"/>
          </w:tcPr>
          <w:p w14:paraId="14396189" w14:textId="048348EA" w:rsidR="00EF3525" w:rsidRPr="003D07A2" w:rsidRDefault="00EF3525" w:rsidP="00EF3525">
            <w:pPr>
              <w:rPr>
                <w:rFonts w:cstheme="minorHAnsi"/>
              </w:rPr>
            </w:pPr>
            <w:r>
              <w:rPr>
                <w:rFonts w:cstheme="minorHAnsi"/>
              </w:rPr>
              <w:t>Pārējie</w:t>
            </w:r>
            <w:r w:rsidRPr="003D07A2">
              <w:rPr>
                <w:rFonts w:cstheme="minorHAnsi"/>
              </w:rPr>
              <w:t xml:space="preserve"> pamatlīdzekļi</w:t>
            </w:r>
          </w:p>
        </w:tc>
        <w:tc>
          <w:tcPr>
            <w:tcW w:w="1134" w:type="dxa"/>
            <w:vAlign w:val="center"/>
          </w:tcPr>
          <w:p w14:paraId="7326D29F" w14:textId="6AD84BE1" w:rsidR="00EF3525" w:rsidRDefault="00EF3525" w:rsidP="00EF3525">
            <w:pPr>
              <w:jc w:val="center"/>
              <w:rPr>
                <w:rFonts w:cstheme="minorHAnsi"/>
              </w:rPr>
            </w:pPr>
            <w:r>
              <w:rPr>
                <w:rFonts w:cstheme="minorHAnsi"/>
              </w:rPr>
              <w:t>11 704</w:t>
            </w:r>
          </w:p>
        </w:tc>
        <w:tc>
          <w:tcPr>
            <w:tcW w:w="992" w:type="dxa"/>
            <w:vAlign w:val="center"/>
          </w:tcPr>
          <w:p w14:paraId="00F3E1CE" w14:textId="79A5816F" w:rsidR="00EF3525" w:rsidRPr="003D07A2" w:rsidRDefault="00C831D7" w:rsidP="00EF3525">
            <w:pPr>
              <w:jc w:val="center"/>
              <w:rPr>
                <w:rFonts w:cstheme="minorHAnsi"/>
              </w:rPr>
            </w:pPr>
            <w:r>
              <w:rPr>
                <w:rFonts w:cstheme="minorHAnsi"/>
              </w:rPr>
              <w:t>0</w:t>
            </w:r>
          </w:p>
        </w:tc>
        <w:tc>
          <w:tcPr>
            <w:tcW w:w="1134" w:type="dxa"/>
            <w:vAlign w:val="center"/>
          </w:tcPr>
          <w:p w14:paraId="272A4F9D" w14:textId="7C964335" w:rsidR="00EF3525" w:rsidRPr="003D07A2" w:rsidRDefault="00E71009" w:rsidP="00EF3525">
            <w:pPr>
              <w:jc w:val="center"/>
              <w:rPr>
                <w:rFonts w:cstheme="minorHAnsi"/>
              </w:rPr>
            </w:pPr>
            <w:r>
              <w:rPr>
                <w:rFonts w:cstheme="minorHAnsi"/>
              </w:rPr>
              <w:t>1</w:t>
            </w:r>
            <w:r w:rsidR="001565CF">
              <w:rPr>
                <w:rFonts w:cstheme="minorHAnsi"/>
              </w:rPr>
              <w:t>1 445</w:t>
            </w:r>
          </w:p>
        </w:tc>
        <w:tc>
          <w:tcPr>
            <w:tcW w:w="1338" w:type="dxa"/>
            <w:vAlign w:val="center"/>
          </w:tcPr>
          <w:p w14:paraId="1D3D0138" w14:textId="43BF061E" w:rsidR="00EF3525" w:rsidRPr="003D07A2" w:rsidRDefault="001565CF" w:rsidP="00EF3525">
            <w:pPr>
              <w:jc w:val="center"/>
              <w:rPr>
                <w:rFonts w:cstheme="minorHAnsi"/>
              </w:rPr>
            </w:pPr>
            <w:r>
              <w:rPr>
                <w:rFonts w:cstheme="minorHAnsi"/>
              </w:rPr>
              <w:t>-259</w:t>
            </w:r>
          </w:p>
        </w:tc>
        <w:tc>
          <w:tcPr>
            <w:tcW w:w="1009" w:type="dxa"/>
            <w:vAlign w:val="center"/>
          </w:tcPr>
          <w:p w14:paraId="486495C0" w14:textId="2CFEEAEF" w:rsidR="00EF3525" w:rsidRPr="003D07A2" w:rsidRDefault="00EF3525" w:rsidP="00EF3525">
            <w:pPr>
              <w:jc w:val="center"/>
              <w:rPr>
                <w:rFonts w:cstheme="minorHAnsi"/>
              </w:rPr>
            </w:pPr>
            <w:r>
              <w:rPr>
                <w:rFonts w:cstheme="minorHAnsi"/>
              </w:rPr>
              <w:t>+</w:t>
            </w:r>
            <w:r w:rsidR="001565CF">
              <w:rPr>
                <w:rFonts w:cstheme="minorHAnsi"/>
              </w:rPr>
              <w:t>11 445</w:t>
            </w:r>
          </w:p>
        </w:tc>
      </w:tr>
      <w:tr w:rsidR="00EF3525" w:rsidRPr="003D07A2" w14:paraId="62D0E03A" w14:textId="77777777" w:rsidTr="00CC4E71">
        <w:tc>
          <w:tcPr>
            <w:tcW w:w="2689" w:type="dxa"/>
          </w:tcPr>
          <w:p w14:paraId="6B841AAA" w14:textId="77777777" w:rsidR="00EF3525" w:rsidRPr="003D07A2" w:rsidRDefault="00EF3525" w:rsidP="00EF3525">
            <w:pPr>
              <w:rPr>
                <w:rFonts w:cstheme="minorHAnsi"/>
              </w:rPr>
            </w:pPr>
            <w:r w:rsidRPr="003D07A2">
              <w:rPr>
                <w:rFonts w:cstheme="minorHAnsi"/>
              </w:rPr>
              <w:t>Datortehnika</w:t>
            </w:r>
          </w:p>
        </w:tc>
        <w:tc>
          <w:tcPr>
            <w:tcW w:w="1134" w:type="dxa"/>
            <w:vAlign w:val="center"/>
          </w:tcPr>
          <w:p w14:paraId="68A05F00" w14:textId="72574F5D" w:rsidR="00EF3525" w:rsidRDefault="00EF3525" w:rsidP="00EF3525">
            <w:pPr>
              <w:jc w:val="center"/>
              <w:rPr>
                <w:rFonts w:cstheme="minorHAnsi"/>
              </w:rPr>
            </w:pPr>
            <w:r>
              <w:rPr>
                <w:rFonts w:cstheme="minorHAnsi"/>
              </w:rPr>
              <w:t>8512</w:t>
            </w:r>
          </w:p>
        </w:tc>
        <w:tc>
          <w:tcPr>
            <w:tcW w:w="992" w:type="dxa"/>
            <w:vAlign w:val="center"/>
          </w:tcPr>
          <w:p w14:paraId="0296B5F3" w14:textId="71F032CF" w:rsidR="00EF3525" w:rsidRPr="003D07A2" w:rsidRDefault="00A968D8" w:rsidP="00EF3525">
            <w:pPr>
              <w:jc w:val="center"/>
              <w:rPr>
                <w:rFonts w:cstheme="minorHAnsi"/>
              </w:rPr>
            </w:pPr>
            <w:r>
              <w:rPr>
                <w:rFonts w:cstheme="minorHAnsi"/>
              </w:rPr>
              <w:t>7500</w:t>
            </w:r>
          </w:p>
        </w:tc>
        <w:tc>
          <w:tcPr>
            <w:tcW w:w="1134" w:type="dxa"/>
            <w:vAlign w:val="center"/>
          </w:tcPr>
          <w:p w14:paraId="6ACEE891" w14:textId="18BB9260" w:rsidR="00EF3525" w:rsidRPr="003D07A2" w:rsidRDefault="00A968D8" w:rsidP="00EF3525">
            <w:pPr>
              <w:jc w:val="center"/>
              <w:rPr>
                <w:rFonts w:cstheme="minorHAnsi"/>
              </w:rPr>
            </w:pPr>
            <w:r>
              <w:rPr>
                <w:rFonts w:cstheme="minorHAnsi"/>
              </w:rPr>
              <w:t>0</w:t>
            </w:r>
          </w:p>
        </w:tc>
        <w:tc>
          <w:tcPr>
            <w:tcW w:w="1338" w:type="dxa"/>
            <w:vAlign w:val="center"/>
          </w:tcPr>
          <w:p w14:paraId="1EBCF2D9" w14:textId="45959EA8" w:rsidR="00EF3525" w:rsidRPr="003D07A2" w:rsidRDefault="00EF3525" w:rsidP="00EF3525">
            <w:pPr>
              <w:jc w:val="center"/>
              <w:rPr>
                <w:rFonts w:cstheme="minorHAnsi"/>
              </w:rPr>
            </w:pPr>
            <w:r>
              <w:rPr>
                <w:rFonts w:cstheme="minorHAnsi"/>
              </w:rPr>
              <w:t>-</w:t>
            </w:r>
            <w:r w:rsidR="00A968D8">
              <w:rPr>
                <w:rFonts w:cstheme="minorHAnsi"/>
              </w:rPr>
              <w:t>8512</w:t>
            </w:r>
          </w:p>
        </w:tc>
        <w:tc>
          <w:tcPr>
            <w:tcW w:w="1009" w:type="dxa"/>
            <w:vAlign w:val="center"/>
          </w:tcPr>
          <w:p w14:paraId="51BD3617" w14:textId="6B586504" w:rsidR="00EF3525" w:rsidRPr="003D07A2" w:rsidRDefault="00EF3525" w:rsidP="00EF3525">
            <w:pPr>
              <w:jc w:val="center"/>
              <w:rPr>
                <w:rFonts w:cstheme="minorHAnsi"/>
              </w:rPr>
            </w:pPr>
            <w:r>
              <w:rPr>
                <w:rFonts w:cstheme="minorHAnsi"/>
              </w:rPr>
              <w:t>-</w:t>
            </w:r>
            <w:r w:rsidR="00A968D8">
              <w:rPr>
                <w:rFonts w:cstheme="minorHAnsi"/>
              </w:rPr>
              <w:t>7500</w:t>
            </w:r>
          </w:p>
        </w:tc>
      </w:tr>
    </w:tbl>
    <w:p w14:paraId="28E95A3A" w14:textId="77777777" w:rsidR="0066262A" w:rsidRDefault="0066262A" w:rsidP="002978D0">
      <w:pPr>
        <w:spacing w:after="0"/>
        <w:rPr>
          <w:rFonts w:cstheme="minorHAnsi"/>
        </w:rPr>
      </w:pPr>
    </w:p>
    <w:p w14:paraId="202FA304" w14:textId="7F15757A" w:rsidR="00BF38DF" w:rsidRDefault="00BF38DF" w:rsidP="00BF38DF">
      <w:pPr>
        <w:spacing w:before="100" w:beforeAutospacing="1" w:after="100" w:afterAutospacing="1"/>
        <w:jc w:val="both"/>
        <w:rPr>
          <w:rFonts w:cstheme="minorHAnsi"/>
          <w:b/>
          <w:bCs/>
        </w:rPr>
      </w:pPr>
      <w:r w:rsidRPr="00BF38DF">
        <w:rPr>
          <w:rFonts w:cstheme="minorHAnsi"/>
        </w:rPr>
        <w:t xml:space="preserve">Pārējo pamatlīdzekļu sastāvā ir gan </w:t>
      </w:r>
      <w:r w:rsidRPr="00BF38DF">
        <w:rPr>
          <w:rFonts w:ascii="Calibri" w:hAnsi="Calibri" w:cs="Calibri"/>
          <w:lang w:eastAsia="lv-LV"/>
        </w:rPr>
        <w:t>Es</w:t>
      </w:r>
      <w:r w:rsidRPr="004B60B0">
        <w:rPr>
          <w:rFonts w:ascii="Calibri" w:hAnsi="Calibri" w:cs="Calibri"/>
          <w:lang w:eastAsia="lv-LV"/>
        </w:rPr>
        <w:t xml:space="preserve"> projekta “Telpu pielāgošana un aprīkošana III kategorijas patvertnes ierīkošanai”, Nr.5.</w:t>
      </w:r>
      <w:r>
        <w:rPr>
          <w:rFonts w:ascii="Calibri" w:hAnsi="Calibri" w:cs="Calibri"/>
          <w:lang w:eastAsia="lv-LV"/>
        </w:rPr>
        <w:t>2.1.1</w:t>
      </w:r>
      <w:r w:rsidRPr="004B60B0">
        <w:rPr>
          <w:rFonts w:ascii="Calibri" w:hAnsi="Calibri" w:cs="Calibri"/>
          <w:lang w:eastAsia="lv-LV"/>
        </w:rPr>
        <w:t>/1/25/I/003</w:t>
      </w:r>
      <w:r>
        <w:rPr>
          <w:rFonts w:ascii="Calibri" w:hAnsi="Calibri" w:cs="Calibri"/>
          <w:lang w:eastAsia="lv-LV"/>
        </w:rPr>
        <w:t xml:space="preserve"> ietvaros iegādātie evakuācijas krēsli kopējā vērtībā  3272 euro, gan </w:t>
      </w:r>
      <w:r w:rsidR="000125A0">
        <w:rPr>
          <w:rFonts w:ascii="Calibri" w:hAnsi="Calibri" w:cs="Calibri"/>
          <w:lang w:eastAsia="lv-LV"/>
        </w:rPr>
        <w:t xml:space="preserve">tehnoloģiskajās iekārtās ietvertais gaisa aizskars </w:t>
      </w:r>
      <w:r w:rsidR="00F423C9">
        <w:rPr>
          <w:rFonts w:ascii="Calibri" w:hAnsi="Calibri" w:cs="Calibri"/>
          <w:lang w:eastAsia="lv-LV"/>
        </w:rPr>
        <w:t xml:space="preserve">uzņemšanas nodaļas ieejā, gan </w:t>
      </w:r>
      <w:r w:rsidR="00955A33">
        <w:rPr>
          <w:rFonts w:ascii="Calibri" w:hAnsi="Calibri" w:cs="Calibri"/>
          <w:lang w:eastAsia="lv-LV"/>
        </w:rPr>
        <w:t xml:space="preserve">nepieciešamais inventārs ( bahilu automātiskā iekārta 1389 euro, </w:t>
      </w:r>
      <w:r w:rsidR="00605884">
        <w:rPr>
          <w:rFonts w:ascii="Calibri" w:hAnsi="Calibri" w:cs="Calibri"/>
          <w:lang w:eastAsia="lv-LV"/>
        </w:rPr>
        <w:t xml:space="preserve">ledusskapis </w:t>
      </w:r>
      <w:r w:rsidR="00C64836">
        <w:rPr>
          <w:rFonts w:ascii="Calibri" w:hAnsi="Calibri" w:cs="Calibri"/>
          <w:lang w:eastAsia="lv-LV"/>
        </w:rPr>
        <w:t>2360 euro, dārzeņu griezējs 2526 euro u.c.), kas bija plānots 2026.gada nākošajos pārskata periodos.</w:t>
      </w:r>
    </w:p>
    <w:p w14:paraId="01029662" w14:textId="5E8DA139" w:rsidR="00D7631D" w:rsidRDefault="00D7631D" w:rsidP="002978D0">
      <w:pPr>
        <w:spacing w:after="0"/>
        <w:rPr>
          <w:rFonts w:cstheme="minorHAnsi"/>
          <w:b/>
          <w:bCs/>
        </w:rPr>
      </w:pPr>
    </w:p>
    <w:p w14:paraId="6D09A686" w14:textId="5B4FEBB7" w:rsidR="002978D0" w:rsidRPr="003D07A2" w:rsidRDefault="008D79D0" w:rsidP="002978D0">
      <w:pPr>
        <w:spacing w:after="0"/>
        <w:rPr>
          <w:rFonts w:cstheme="minorHAnsi"/>
          <w:b/>
          <w:bCs/>
        </w:rPr>
      </w:pPr>
      <w:r w:rsidRPr="003D07A2">
        <w:rPr>
          <w:rFonts w:cstheme="minorHAnsi"/>
          <w:b/>
          <w:bCs/>
        </w:rPr>
        <w:t>Veselības aprūpes pakalpojumu īstenošana</w:t>
      </w:r>
    </w:p>
    <w:p w14:paraId="0C7F5493" w14:textId="5632CEF6" w:rsidR="001739AA" w:rsidRPr="003D07A2" w:rsidRDefault="006B69E7" w:rsidP="00FA2AE6">
      <w:pPr>
        <w:spacing w:before="100" w:beforeAutospacing="1" w:after="100" w:afterAutospacing="1"/>
        <w:jc w:val="both"/>
        <w:rPr>
          <w:rFonts w:cstheme="minorHAnsi"/>
        </w:rPr>
      </w:pPr>
      <w:r w:rsidRPr="003D07A2">
        <w:rPr>
          <w:rFonts w:cstheme="minorHAnsi"/>
        </w:rPr>
        <w:t xml:space="preserve">Slimnīca saskaņā ar noslēgto līgumu ar </w:t>
      </w:r>
      <w:r w:rsidR="001579A3" w:rsidRPr="003D07A2">
        <w:rPr>
          <w:rFonts w:cstheme="minorHAnsi"/>
        </w:rPr>
        <w:t>N</w:t>
      </w:r>
      <w:r w:rsidRPr="003D07A2">
        <w:rPr>
          <w:rFonts w:cstheme="minorHAnsi"/>
        </w:rPr>
        <w:t xml:space="preserve">acionālo veselības dienestu saņem fiksēto maksājumu par uzņemšanas nodaļas darbību un piemaksu par observācijas gultu uzturēšanu. Pārskata periodā </w:t>
      </w:r>
      <w:r w:rsidR="00FB18EF">
        <w:rPr>
          <w:rFonts w:cstheme="minorHAnsi"/>
        </w:rPr>
        <w:t>9</w:t>
      </w:r>
      <w:r w:rsidR="00D46D2B">
        <w:rPr>
          <w:rFonts w:cstheme="minorHAnsi"/>
        </w:rPr>
        <w:t>29</w:t>
      </w:r>
      <w:r w:rsidR="007D2D76">
        <w:rPr>
          <w:rFonts w:cstheme="minorHAnsi"/>
        </w:rPr>
        <w:t xml:space="preserve"> (</w:t>
      </w:r>
      <w:r w:rsidR="00D46D2B">
        <w:rPr>
          <w:rFonts w:cstheme="minorHAnsi"/>
        </w:rPr>
        <w:t xml:space="preserve">2025.gadā 944; </w:t>
      </w:r>
      <w:r w:rsidR="00FB18EF">
        <w:rPr>
          <w:rFonts w:cstheme="minorHAnsi"/>
        </w:rPr>
        <w:t xml:space="preserve">2024.gadā 995; </w:t>
      </w:r>
      <w:r w:rsidR="00E031D9">
        <w:rPr>
          <w:rFonts w:cstheme="minorHAnsi"/>
        </w:rPr>
        <w:t xml:space="preserve">2023.gadā 906; </w:t>
      </w:r>
      <w:r w:rsidR="00742068">
        <w:rPr>
          <w:rFonts w:cstheme="minorHAnsi"/>
        </w:rPr>
        <w:t>2022.gadā 872;</w:t>
      </w:r>
      <w:r w:rsidR="00173AC7">
        <w:rPr>
          <w:rFonts w:cstheme="minorHAnsi"/>
        </w:rPr>
        <w:t xml:space="preserve"> </w:t>
      </w:r>
      <w:r w:rsidR="007D2D76">
        <w:rPr>
          <w:rFonts w:cstheme="minorHAnsi"/>
        </w:rPr>
        <w:t>2021.gad</w:t>
      </w:r>
      <w:r w:rsidR="0093423D">
        <w:rPr>
          <w:rFonts w:cstheme="minorHAnsi"/>
        </w:rPr>
        <w:t xml:space="preserve">ā </w:t>
      </w:r>
      <w:r w:rsidR="005362F9">
        <w:rPr>
          <w:rFonts w:cstheme="minorHAnsi"/>
        </w:rPr>
        <w:t>770</w:t>
      </w:r>
      <w:r w:rsidR="0093423D">
        <w:rPr>
          <w:rFonts w:cstheme="minorHAnsi"/>
        </w:rPr>
        <w:t>)</w:t>
      </w:r>
      <w:r w:rsidRPr="003D07A2">
        <w:rPr>
          <w:rFonts w:cstheme="minorHAnsi"/>
        </w:rPr>
        <w:t xml:space="preserve"> pacienti vērsušies uzņemšanas nodaļā pēc medicīniskās palīdzības, no tiem </w:t>
      </w:r>
      <w:r w:rsidR="00D46D2B">
        <w:rPr>
          <w:rFonts w:cstheme="minorHAnsi"/>
        </w:rPr>
        <w:t>75</w:t>
      </w:r>
      <w:r w:rsidR="009C6EAE">
        <w:rPr>
          <w:rFonts w:cstheme="minorHAnsi"/>
        </w:rPr>
        <w:t xml:space="preserve"> (</w:t>
      </w:r>
      <w:r w:rsidR="00D46D2B">
        <w:rPr>
          <w:rFonts w:cstheme="minorHAnsi"/>
        </w:rPr>
        <w:t xml:space="preserve">2025.gadā 88; </w:t>
      </w:r>
      <w:r w:rsidR="00FB18EF">
        <w:rPr>
          <w:rFonts w:cstheme="minorHAnsi"/>
        </w:rPr>
        <w:t xml:space="preserve">2024.gadā 87; </w:t>
      </w:r>
      <w:r w:rsidR="00E031D9">
        <w:rPr>
          <w:rFonts w:cstheme="minorHAnsi"/>
        </w:rPr>
        <w:t xml:space="preserve">2023.gadā 42; </w:t>
      </w:r>
      <w:r w:rsidR="00173AC7">
        <w:rPr>
          <w:rFonts w:cstheme="minorHAnsi"/>
        </w:rPr>
        <w:t xml:space="preserve">2022.gadā </w:t>
      </w:r>
      <w:r w:rsidR="00F82F08">
        <w:rPr>
          <w:rFonts w:cstheme="minorHAnsi"/>
        </w:rPr>
        <w:t xml:space="preserve">45; </w:t>
      </w:r>
      <w:r w:rsidR="009C6EAE">
        <w:rPr>
          <w:rFonts w:cstheme="minorHAnsi"/>
        </w:rPr>
        <w:t xml:space="preserve">2021.gadā </w:t>
      </w:r>
      <w:r w:rsidR="005362F9">
        <w:rPr>
          <w:rFonts w:cstheme="minorHAnsi"/>
        </w:rPr>
        <w:t>5</w:t>
      </w:r>
      <w:r w:rsidR="009C6EAE">
        <w:rPr>
          <w:rFonts w:cstheme="minorHAnsi"/>
        </w:rPr>
        <w:t>)</w:t>
      </w:r>
      <w:r w:rsidRPr="003D07A2">
        <w:rPr>
          <w:rFonts w:cstheme="minorHAnsi"/>
        </w:rPr>
        <w:t xml:space="preserve"> sniegta neatliekamā medicīniskā palīdzība un tie novirzīti turpmākai ambulatorai ārstēšanai. </w:t>
      </w:r>
      <w:r w:rsidR="00D46D2B">
        <w:rPr>
          <w:rFonts w:cstheme="minorHAnsi"/>
        </w:rPr>
        <w:t>103</w:t>
      </w:r>
      <w:r w:rsidR="003B6F4C">
        <w:rPr>
          <w:rFonts w:cstheme="minorHAnsi"/>
        </w:rPr>
        <w:t xml:space="preserve"> (</w:t>
      </w:r>
      <w:r w:rsidR="00D46D2B">
        <w:rPr>
          <w:rFonts w:cstheme="minorHAnsi"/>
        </w:rPr>
        <w:t xml:space="preserve">2025.gadā 118; </w:t>
      </w:r>
      <w:r w:rsidR="00FB18EF">
        <w:rPr>
          <w:rFonts w:cstheme="minorHAnsi"/>
        </w:rPr>
        <w:t>2024.gadā 83;</w:t>
      </w:r>
      <w:r w:rsidR="00E031D9">
        <w:rPr>
          <w:rFonts w:cstheme="minorHAnsi"/>
        </w:rPr>
        <w:t xml:space="preserve">2023.gadā 43; </w:t>
      </w:r>
      <w:r w:rsidR="00F82F08">
        <w:rPr>
          <w:rFonts w:cstheme="minorHAnsi"/>
        </w:rPr>
        <w:t>2022.gadā 16;</w:t>
      </w:r>
      <w:r w:rsidR="005524CC">
        <w:rPr>
          <w:rFonts w:cstheme="minorHAnsi"/>
        </w:rPr>
        <w:t xml:space="preserve"> </w:t>
      </w:r>
      <w:r w:rsidR="003B6F4C">
        <w:rPr>
          <w:rFonts w:cstheme="minorHAnsi"/>
        </w:rPr>
        <w:t xml:space="preserve">2021. gadā </w:t>
      </w:r>
      <w:r w:rsidR="005362F9">
        <w:rPr>
          <w:rFonts w:cstheme="minorHAnsi"/>
        </w:rPr>
        <w:t>7</w:t>
      </w:r>
      <w:r w:rsidR="003B6F4C">
        <w:rPr>
          <w:rFonts w:cstheme="minorHAnsi"/>
        </w:rPr>
        <w:t>)</w:t>
      </w:r>
      <w:r w:rsidRPr="003D07A2">
        <w:rPr>
          <w:rFonts w:cstheme="minorHAnsi"/>
        </w:rPr>
        <w:t xml:space="preserve"> pacientiem nodrošināts observācijas pakalpojums, no tiem </w:t>
      </w:r>
      <w:r w:rsidR="00D46D2B">
        <w:rPr>
          <w:rFonts w:cstheme="minorHAnsi"/>
        </w:rPr>
        <w:t>49</w:t>
      </w:r>
      <w:r w:rsidRPr="003D07A2">
        <w:rPr>
          <w:rFonts w:cstheme="minorHAnsi"/>
        </w:rPr>
        <w:t xml:space="preserve"> pēc observācijas stacionēti diennakts stacionārā.</w:t>
      </w:r>
      <w:r w:rsidR="002239F0" w:rsidRPr="003D07A2">
        <w:rPr>
          <w:rFonts w:cstheme="minorHAnsi"/>
        </w:rPr>
        <w:t xml:space="preserve"> </w:t>
      </w:r>
    </w:p>
    <w:p w14:paraId="3EA1436D" w14:textId="77777777" w:rsidR="00D46D2B" w:rsidRDefault="00D46D2B" w:rsidP="00FA2AE6">
      <w:pPr>
        <w:spacing w:before="100" w:beforeAutospacing="1" w:after="100" w:afterAutospacing="1"/>
        <w:jc w:val="center"/>
        <w:rPr>
          <w:rFonts w:cstheme="minorHAnsi"/>
          <w:b/>
          <w:bCs/>
        </w:rPr>
      </w:pPr>
    </w:p>
    <w:p w14:paraId="030839E1" w14:textId="77777777" w:rsidR="00D46D2B" w:rsidRDefault="00D46D2B" w:rsidP="00FA2AE6">
      <w:pPr>
        <w:spacing w:before="100" w:beforeAutospacing="1" w:after="100" w:afterAutospacing="1"/>
        <w:jc w:val="center"/>
        <w:rPr>
          <w:rFonts w:cstheme="minorHAnsi"/>
          <w:b/>
          <w:bCs/>
        </w:rPr>
      </w:pPr>
    </w:p>
    <w:p w14:paraId="2FEBF68C" w14:textId="001B708C" w:rsidR="00BA356A" w:rsidRPr="003D07A2" w:rsidRDefault="007B2D77" w:rsidP="00FA2AE6">
      <w:pPr>
        <w:spacing w:before="100" w:beforeAutospacing="1" w:after="100" w:afterAutospacing="1"/>
        <w:jc w:val="center"/>
        <w:rPr>
          <w:rFonts w:cstheme="minorHAnsi"/>
          <w:b/>
          <w:bCs/>
        </w:rPr>
      </w:pPr>
      <w:r w:rsidRPr="003D07A2">
        <w:rPr>
          <w:rFonts w:cstheme="minorHAnsi"/>
          <w:b/>
          <w:bCs/>
        </w:rPr>
        <w:lastRenderedPageBreak/>
        <w:t>Diennakts stacionāra līguma izpilde</w:t>
      </w:r>
    </w:p>
    <w:tbl>
      <w:tblPr>
        <w:tblStyle w:val="Reatabula"/>
        <w:tblW w:w="8926" w:type="dxa"/>
        <w:tblLayout w:type="fixed"/>
        <w:tblLook w:val="04A0" w:firstRow="1" w:lastRow="0" w:firstColumn="1" w:lastColumn="0" w:noHBand="0" w:noVBand="1"/>
      </w:tblPr>
      <w:tblGrid>
        <w:gridCol w:w="3150"/>
        <w:gridCol w:w="1665"/>
        <w:gridCol w:w="1433"/>
        <w:gridCol w:w="1544"/>
        <w:gridCol w:w="1134"/>
      </w:tblGrid>
      <w:tr w:rsidR="00C86394" w:rsidRPr="00107397" w14:paraId="430C70E7" w14:textId="77777777" w:rsidTr="00C86394">
        <w:trPr>
          <w:trHeight w:val="530"/>
        </w:trPr>
        <w:tc>
          <w:tcPr>
            <w:tcW w:w="3150" w:type="dxa"/>
            <w:hideMark/>
          </w:tcPr>
          <w:p w14:paraId="0A5E18ED" w14:textId="77777777" w:rsidR="00C86394" w:rsidRPr="00107397" w:rsidRDefault="00C86394" w:rsidP="00C86394">
            <w:pPr>
              <w:jc w:val="center"/>
              <w:rPr>
                <w:rFonts w:eastAsia="Times New Roman" w:cstheme="minorHAnsi"/>
                <w:color w:val="000000"/>
                <w:sz w:val="20"/>
                <w:szCs w:val="20"/>
                <w:lang w:eastAsia="lv-LV"/>
              </w:rPr>
            </w:pPr>
            <w:r w:rsidRPr="00107397">
              <w:rPr>
                <w:rFonts w:eastAsia="Times New Roman" w:cstheme="minorHAnsi"/>
                <w:color w:val="000000"/>
                <w:sz w:val="20"/>
                <w:szCs w:val="20"/>
                <w:lang w:eastAsia="lv-LV"/>
              </w:rPr>
              <w:t>NVD līguma stacionārās veselības aprūpes programmas</w:t>
            </w:r>
          </w:p>
        </w:tc>
        <w:tc>
          <w:tcPr>
            <w:tcW w:w="1665" w:type="dxa"/>
          </w:tcPr>
          <w:p w14:paraId="56EEFB30" w14:textId="4A97F8D2" w:rsidR="00C86394" w:rsidRPr="00107397" w:rsidRDefault="00C86394" w:rsidP="00C86394">
            <w:pPr>
              <w:jc w:val="center"/>
              <w:rPr>
                <w:rFonts w:eastAsia="Times New Roman" w:cstheme="minorHAnsi"/>
                <w:color w:val="000000"/>
                <w:sz w:val="20"/>
                <w:szCs w:val="20"/>
                <w:lang w:eastAsia="lv-LV"/>
              </w:rPr>
            </w:pPr>
            <w:r w:rsidRPr="00107397">
              <w:rPr>
                <w:rFonts w:eastAsia="Times New Roman" w:cstheme="minorHAnsi"/>
                <w:color w:val="000000"/>
                <w:sz w:val="20"/>
                <w:szCs w:val="20"/>
                <w:lang w:eastAsia="lv-LV"/>
              </w:rPr>
              <w:t xml:space="preserve">Faktiski </w:t>
            </w:r>
            <w:r>
              <w:rPr>
                <w:rFonts w:eastAsia="Times New Roman" w:cstheme="minorHAnsi"/>
                <w:color w:val="000000"/>
                <w:sz w:val="20"/>
                <w:szCs w:val="20"/>
                <w:lang w:eastAsia="lv-LV"/>
              </w:rPr>
              <w:t>apmaksāto + neapmaksāto</w:t>
            </w:r>
            <w:r w:rsidRPr="00107397">
              <w:rPr>
                <w:rFonts w:eastAsia="Times New Roman" w:cstheme="minorHAnsi"/>
                <w:color w:val="000000"/>
                <w:sz w:val="20"/>
                <w:szCs w:val="20"/>
                <w:lang w:eastAsia="lv-LV"/>
              </w:rPr>
              <w:t xml:space="preserve"> pacientu skaits 202</w:t>
            </w:r>
            <w:r w:rsidR="00D46D2B">
              <w:rPr>
                <w:rFonts w:eastAsia="Times New Roman" w:cstheme="minorHAnsi"/>
                <w:color w:val="000000"/>
                <w:sz w:val="20"/>
                <w:szCs w:val="20"/>
                <w:lang w:eastAsia="lv-LV"/>
              </w:rPr>
              <w:t>5</w:t>
            </w:r>
            <w:r w:rsidRPr="00107397">
              <w:rPr>
                <w:rFonts w:eastAsia="Times New Roman" w:cstheme="minorHAnsi"/>
                <w:color w:val="000000"/>
                <w:sz w:val="20"/>
                <w:szCs w:val="20"/>
                <w:lang w:eastAsia="lv-LV"/>
              </w:rPr>
              <w:t>.gadā</w:t>
            </w:r>
          </w:p>
        </w:tc>
        <w:tc>
          <w:tcPr>
            <w:tcW w:w="1433" w:type="dxa"/>
            <w:hideMark/>
          </w:tcPr>
          <w:p w14:paraId="29273808" w14:textId="63F38FE2" w:rsidR="00C86394" w:rsidRPr="00107397" w:rsidRDefault="00C86394" w:rsidP="00C86394">
            <w:pPr>
              <w:jc w:val="center"/>
              <w:rPr>
                <w:rFonts w:eastAsia="Times New Roman" w:cstheme="minorHAnsi"/>
                <w:color w:val="000000"/>
                <w:sz w:val="20"/>
                <w:szCs w:val="20"/>
                <w:lang w:eastAsia="lv-LV"/>
              </w:rPr>
            </w:pPr>
            <w:r w:rsidRPr="00107397">
              <w:rPr>
                <w:rFonts w:eastAsia="Times New Roman" w:cstheme="minorHAnsi"/>
                <w:color w:val="000000"/>
                <w:sz w:val="20"/>
                <w:szCs w:val="20"/>
                <w:lang w:eastAsia="lv-LV"/>
              </w:rPr>
              <w:t>Plānotais pacientu skaits līgumā 202</w:t>
            </w:r>
            <w:r w:rsidR="00D46D2B">
              <w:rPr>
                <w:rFonts w:eastAsia="Times New Roman" w:cstheme="minorHAnsi"/>
                <w:color w:val="000000"/>
                <w:sz w:val="20"/>
                <w:szCs w:val="20"/>
                <w:lang w:eastAsia="lv-LV"/>
              </w:rPr>
              <w:t>6</w:t>
            </w:r>
            <w:r w:rsidRPr="00107397">
              <w:rPr>
                <w:rFonts w:eastAsia="Times New Roman" w:cstheme="minorHAnsi"/>
                <w:color w:val="000000"/>
                <w:sz w:val="20"/>
                <w:szCs w:val="20"/>
                <w:lang w:eastAsia="lv-LV"/>
              </w:rPr>
              <w:t>.gadā</w:t>
            </w:r>
            <w:r>
              <w:rPr>
                <w:rFonts w:eastAsia="Times New Roman" w:cstheme="minorHAnsi"/>
                <w:color w:val="000000"/>
                <w:sz w:val="20"/>
                <w:szCs w:val="20"/>
                <w:lang w:eastAsia="lv-LV"/>
              </w:rPr>
              <w:t xml:space="preserve"> (</w:t>
            </w:r>
            <w:r w:rsidR="00D2565B">
              <w:rPr>
                <w:rFonts w:eastAsia="Times New Roman" w:cstheme="minorHAnsi"/>
                <w:color w:val="000000"/>
                <w:sz w:val="20"/>
                <w:szCs w:val="20"/>
                <w:lang w:eastAsia="lv-LV"/>
              </w:rPr>
              <w:t>30.01.2026</w:t>
            </w:r>
            <w:r>
              <w:rPr>
                <w:rFonts w:eastAsia="Times New Roman" w:cstheme="minorHAnsi"/>
                <w:color w:val="000000"/>
                <w:sz w:val="20"/>
                <w:szCs w:val="20"/>
                <w:lang w:eastAsia="lv-LV"/>
              </w:rPr>
              <w:t>.redakcija)</w:t>
            </w:r>
            <w:r w:rsidRPr="00107397">
              <w:rPr>
                <w:rFonts w:eastAsia="Times New Roman" w:cstheme="minorHAnsi"/>
                <w:color w:val="000000"/>
                <w:sz w:val="20"/>
                <w:szCs w:val="20"/>
                <w:lang w:eastAsia="lv-LV"/>
              </w:rPr>
              <w:t xml:space="preserve"> </w:t>
            </w:r>
          </w:p>
        </w:tc>
        <w:tc>
          <w:tcPr>
            <w:tcW w:w="1544" w:type="dxa"/>
          </w:tcPr>
          <w:p w14:paraId="609D4B58" w14:textId="26E00CC7" w:rsidR="00C86394" w:rsidRPr="00107397" w:rsidRDefault="00C86394" w:rsidP="00C86394">
            <w:pPr>
              <w:jc w:val="center"/>
              <w:rPr>
                <w:rFonts w:eastAsia="Times New Roman" w:cstheme="minorHAnsi"/>
                <w:color w:val="000000"/>
                <w:sz w:val="20"/>
                <w:szCs w:val="20"/>
                <w:lang w:eastAsia="lv-LV"/>
              </w:rPr>
            </w:pPr>
            <w:r w:rsidRPr="00107397">
              <w:rPr>
                <w:rFonts w:eastAsia="Times New Roman" w:cstheme="minorHAnsi"/>
                <w:color w:val="000000"/>
                <w:sz w:val="20"/>
                <w:szCs w:val="20"/>
                <w:lang w:eastAsia="lv-LV"/>
              </w:rPr>
              <w:t xml:space="preserve">Faktiski </w:t>
            </w:r>
            <w:r>
              <w:rPr>
                <w:rFonts w:eastAsia="Times New Roman" w:cstheme="minorHAnsi"/>
                <w:color w:val="000000"/>
                <w:sz w:val="20"/>
                <w:szCs w:val="20"/>
                <w:lang w:eastAsia="lv-LV"/>
              </w:rPr>
              <w:t>apmaksāto + neapmaksāto</w:t>
            </w:r>
            <w:r w:rsidRPr="00107397">
              <w:rPr>
                <w:rFonts w:eastAsia="Times New Roman" w:cstheme="minorHAnsi"/>
                <w:color w:val="000000"/>
                <w:sz w:val="20"/>
                <w:szCs w:val="20"/>
                <w:lang w:eastAsia="lv-LV"/>
              </w:rPr>
              <w:t xml:space="preserve"> pacientu skaits 202</w:t>
            </w:r>
            <w:r w:rsidR="00291C76">
              <w:rPr>
                <w:rFonts w:eastAsia="Times New Roman" w:cstheme="minorHAnsi"/>
                <w:color w:val="000000"/>
                <w:sz w:val="20"/>
                <w:szCs w:val="20"/>
                <w:lang w:eastAsia="lv-LV"/>
              </w:rPr>
              <w:t>6</w:t>
            </w:r>
            <w:r w:rsidRPr="00107397">
              <w:rPr>
                <w:rFonts w:eastAsia="Times New Roman" w:cstheme="minorHAnsi"/>
                <w:color w:val="000000"/>
                <w:sz w:val="20"/>
                <w:szCs w:val="20"/>
                <w:lang w:eastAsia="lv-LV"/>
              </w:rPr>
              <w:t>.gadā</w:t>
            </w:r>
          </w:p>
        </w:tc>
        <w:tc>
          <w:tcPr>
            <w:tcW w:w="1134" w:type="dxa"/>
          </w:tcPr>
          <w:p w14:paraId="0D6050E7" w14:textId="4006B5C6" w:rsidR="00C86394" w:rsidRPr="00107397" w:rsidRDefault="00C86394" w:rsidP="00C86394">
            <w:pPr>
              <w:jc w:val="center"/>
              <w:rPr>
                <w:rFonts w:eastAsia="Times New Roman" w:cstheme="minorHAnsi"/>
                <w:color w:val="000000"/>
                <w:sz w:val="20"/>
                <w:szCs w:val="20"/>
                <w:lang w:eastAsia="lv-LV"/>
              </w:rPr>
            </w:pPr>
            <w:r w:rsidRPr="00107397">
              <w:rPr>
                <w:rFonts w:cstheme="minorHAnsi"/>
                <w:sz w:val="20"/>
                <w:szCs w:val="20"/>
              </w:rPr>
              <w:t>Novirze pret 202</w:t>
            </w:r>
            <w:r w:rsidR="00E11C0C">
              <w:rPr>
                <w:rFonts w:cstheme="minorHAnsi"/>
                <w:sz w:val="20"/>
                <w:szCs w:val="20"/>
              </w:rPr>
              <w:t>5</w:t>
            </w:r>
            <w:r w:rsidRPr="00107397">
              <w:rPr>
                <w:rFonts w:cstheme="minorHAnsi"/>
                <w:sz w:val="20"/>
                <w:szCs w:val="20"/>
              </w:rPr>
              <w:t>.gadu</w:t>
            </w:r>
            <w:r w:rsidR="002206E6">
              <w:rPr>
                <w:rFonts w:cstheme="minorHAnsi"/>
                <w:sz w:val="20"/>
                <w:szCs w:val="20"/>
              </w:rPr>
              <w:t xml:space="preserve"> (kopējā)</w:t>
            </w:r>
          </w:p>
        </w:tc>
      </w:tr>
      <w:tr w:rsidR="00D46D2B" w:rsidRPr="003D07A2" w14:paraId="50B444D8" w14:textId="77777777" w:rsidTr="00C86394">
        <w:trPr>
          <w:trHeight w:val="427"/>
        </w:trPr>
        <w:tc>
          <w:tcPr>
            <w:tcW w:w="3150" w:type="dxa"/>
            <w:vAlign w:val="center"/>
            <w:hideMark/>
          </w:tcPr>
          <w:p w14:paraId="4F543698" w14:textId="77777777" w:rsidR="00D46D2B" w:rsidRPr="003D07A2" w:rsidRDefault="00D46D2B" w:rsidP="00D46D2B">
            <w:pPr>
              <w:spacing w:line="276" w:lineRule="auto"/>
              <w:rPr>
                <w:rFonts w:eastAsia="Times New Roman" w:cstheme="minorHAnsi"/>
                <w:color w:val="000000"/>
                <w:lang w:eastAsia="lv-LV"/>
              </w:rPr>
            </w:pPr>
            <w:r w:rsidRPr="003D07A2">
              <w:rPr>
                <w:rFonts w:eastAsia="Times New Roman" w:cstheme="minorHAnsi"/>
                <w:color w:val="000000"/>
                <w:lang w:eastAsia="lv-LV"/>
              </w:rPr>
              <w:t>Psihiatriskā palīdzība, tai skaitā pēc tiesas lēmuma</w:t>
            </w:r>
          </w:p>
        </w:tc>
        <w:tc>
          <w:tcPr>
            <w:tcW w:w="1665" w:type="dxa"/>
            <w:vAlign w:val="center"/>
          </w:tcPr>
          <w:p w14:paraId="6CBF358A" w14:textId="05D58565" w:rsidR="00D46D2B" w:rsidRPr="003D07A2" w:rsidRDefault="00D46D2B" w:rsidP="00D46D2B">
            <w:pPr>
              <w:spacing w:line="276" w:lineRule="auto"/>
              <w:jc w:val="center"/>
              <w:rPr>
                <w:rFonts w:eastAsia="Times New Roman" w:cstheme="minorHAnsi"/>
                <w:color w:val="000000"/>
                <w:lang w:eastAsia="lv-LV"/>
              </w:rPr>
            </w:pPr>
            <w:r>
              <w:rPr>
                <w:rFonts w:eastAsia="Times New Roman" w:cstheme="minorHAnsi"/>
                <w:color w:val="000000"/>
                <w:lang w:eastAsia="lv-LV"/>
              </w:rPr>
              <w:t>500/+44</w:t>
            </w:r>
          </w:p>
        </w:tc>
        <w:tc>
          <w:tcPr>
            <w:tcW w:w="1433" w:type="dxa"/>
            <w:vAlign w:val="center"/>
          </w:tcPr>
          <w:p w14:paraId="7E75E48B" w14:textId="3813C410" w:rsidR="00D46D2B" w:rsidRPr="003D07A2" w:rsidRDefault="00D46D2B" w:rsidP="00D46D2B">
            <w:pPr>
              <w:spacing w:line="276" w:lineRule="auto"/>
              <w:jc w:val="center"/>
              <w:rPr>
                <w:rFonts w:eastAsia="Times New Roman" w:cstheme="minorHAnsi"/>
                <w:lang w:eastAsia="lv-LV"/>
              </w:rPr>
            </w:pPr>
            <w:r>
              <w:rPr>
                <w:rFonts w:eastAsia="Times New Roman" w:cstheme="minorHAnsi"/>
                <w:lang w:eastAsia="lv-LV"/>
              </w:rPr>
              <w:t>500</w:t>
            </w:r>
          </w:p>
        </w:tc>
        <w:tc>
          <w:tcPr>
            <w:tcW w:w="1544" w:type="dxa"/>
            <w:vAlign w:val="center"/>
          </w:tcPr>
          <w:p w14:paraId="0BCD9A9E" w14:textId="0BA16B70" w:rsidR="00D46D2B" w:rsidRPr="003D07A2" w:rsidRDefault="0084287E" w:rsidP="00D46D2B">
            <w:pPr>
              <w:spacing w:line="276" w:lineRule="auto"/>
              <w:jc w:val="center"/>
              <w:rPr>
                <w:rFonts w:eastAsia="Times New Roman" w:cstheme="minorHAnsi"/>
                <w:color w:val="000000"/>
                <w:lang w:eastAsia="lv-LV"/>
              </w:rPr>
            </w:pPr>
            <w:r>
              <w:rPr>
                <w:rFonts w:eastAsia="Times New Roman" w:cstheme="minorHAnsi"/>
                <w:color w:val="000000"/>
                <w:lang w:eastAsia="lv-LV"/>
              </w:rPr>
              <w:t>499</w:t>
            </w:r>
            <w:r w:rsidR="00D46D2B">
              <w:rPr>
                <w:rFonts w:eastAsia="Times New Roman" w:cstheme="minorHAnsi"/>
                <w:color w:val="000000"/>
                <w:lang w:eastAsia="lv-LV"/>
              </w:rPr>
              <w:t>/+</w:t>
            </w:r>
            <w:r>
              <w:rPr>
                <w:rFonts w:eastAsia="Times New Roman" w:cstheme="minorHAnsi"/>
                <w:color w:val="000000"/>
                <w:lang w:eastAsia="lv-LV"/>
              </w:rPr>
              <w:t>23</w:t>
            </w:r>
          </w:p>
        </w:tc>
        <w:tc>
          <w:tcPr>
            <w:tcW w:w="1134" w:type="dxa"/>
            <w:vAlign w:val="center"/>
          </w:tcPr>
          <w:p w14:paraId="69B14516" w14:textId="435332C1" w:rsidR="00D46D2B" w:rsidRPr="003D07A2" w:rsidRDefault="00E11C0C" w:rsidP="00D46D2B">
            <w:pPr>
              <w:spacing w:line="276" w:lineRule="auto"/>
              <w:jc w:val="center"/>
              <w:rPr>
                <w:rFonts w:eastAsia="Times New Roman" w:cstheme="minorHAnsi"/>
                <w:color w:val="000000"/>
                <w:lang w:eastAsia="lv-LV"/>
              </w:rPr>
            </w:pPr>
            <w:r>
              <w:rPr>
                <w:rFonts w:eastAsia="Times New Roman" w:cstheme="minorHAnsi"/>
                <w:color w:val="000000"/>
                <w:lang w:eastAsia="lv-LV"/>
              </w:rPr>
              <w:t>-22</w:t>
            </w:r>
          </w:p>
        </w:tc>
      </w:tr>
      <w:tr w:rsidR="00D46D2B" w:rsidRPr="003D07A2" w14:paraId="1ACACFEF" w14:textId="77777777" w:rsidTr="00C86394">
        <w:trPr>
          <w:trHeight w:val="179"/>
        </w:trPr>
        <w:tc>
          <w:tcPr>
            <w:tcW w:w="3150" w:type="dxa"/>
            <w:vAlign w:val="center"/>
            <w:hideMark/>
          </w:tcPr>
          <w:p w14:paraId="2EC1E2DE" w14:textId="77777777" w:rsidR="00D46D2B" w:rsidRPr="003D07A2" w:rsidRDefault="00D46D2B" w:rsidP="00D46D2B">
            <w:pPr>
              <w:spacing w:line="276" w:lineRule="auto"/>
              <w:rPr>
                <w:rFonts w:eastAsia="Times New Roman" w:cstheme="minorHAnsi"/>
                <w:color w:val="000000"/>
                <w:lang w:eastAsia="lv-LV"/>
              </w:rPr>
            </w:pPr>
            <w:r w:rsidRPr="003D07A2">
              <w:rPr>
                <w:rFonts w:eastAsia="Times New Roman" w:cstheme="minorHAnsi"/>
                <w:color w:val="000000"/>
                <w:lang w:eastAsia="lv-LV"/>
              </w:rPr>
              <w:t>Psihiatriskā palīdzība bērniem</w:t>
            </w:r>
          </w:p>
        </w:tc>
        <w:tc>
          <w:tcPr>
            <w:tcW w:w="1665" w:type="dxa"/>
            <w:vAlign w:val="center"/>
          </w:tcPr>
          <w:p w14:paraId="5F2934AA" w14:textId="095D07B3" w:rsidR="00D46D2B" w:rsidRPr="003D07A2" w:rsidRDefault="00D46D2B" w:rsidP="00D46D2B">
            <w:pPr>
              <w:spacing w:line="276" w:lineRule="auto"/>
              <w:jc w:val="center"/>
              <w:rPr>
                <w:rFonts w:eastAsia="Times New Roman" w:cstheme="minorHAnsi"/>
                <w:color w:val="000000"/>
                <w:lang w:eastAsia="lv-LV"/>
              </w:rPr>
            </w:pPr>
            <w:r>
              <w:rPr>
                <w:rFonts w:eastAsia="Times New Roman" w:cstheme="minorHAnsi"/>
                <w:color w:val="000000"/>
                <w:lang w:eastAsia="lv-LV"/>
              </w:rPr>
              <w:t>84</w:t>
            </w:r>
          </w:p>
        </w:tc>
        <w:tc>
          <w:tcPr>
            <w:tcW w:w="1433" w:type="dxa"/>
            <w:vAlign w:val="center"/>
          </w:tcPr>
          <w:p w14:paraId="4AD64BAD" w14:textId="0E98C7C0" w:rsidR="00D46D2B" w:rsidRPr="003D07A2" w:rsidRDefault="00037363" w:rsidP="00D46D2B">
            <w:pPr>
              <w:spacing w:line="276" w:lineRule="auto"/>
              <w:jc w:val="center"/>
              <w:rPr>
                <w:rFonts w:eastAsia="Times New Roman" w:cstheme="minorHAnsi"/>
                <w:lang w:eastAsia="lv-LV"/>
              </w:rPr>
            </w:pPr>
            <w:r>
              <w:rPr>
                <w:rFonts w:eastAsia="Times New Roman" w:cstheme="minorHAnsi"/>
                <w:lang w:eastAsia="lv-LV"/>
              </w:rPr>
              <w:t>8</w:t>
            </w:r>
            <w:r w:rsidR="00D46D2B">
              <w:rPr>
                <w:rFonts w:eastAsia="Times New Roman" w:cstheme="minorHAnsi"/>
                <w:lang w:eastAsia="lv-LV"/>
              </w:rPr>
              <w:t>6</w:t>
            </w:r>
          </w:p>
        </w:tc>
        <w:tc>
          <w:tcPr>
            <w:tcW w:w="1544" w:type="dxa"/>
            <w:vAlign w:val="center"/>
          </w:tcPr>
          <w:p w14:paraId="1A221799" w14:textId="4E110BD6" w:rsidR="00D46D2B" w:rsidRPr="003D07A2" w:rsidRDefault="00035454" w:rsidP="00D46D2B">
            <w:pPr>
              <w:spacing w:line="276" w:lineRule="auto"/>
              <w:jc w:val="center"/>
              <w:rPr>
                <w:rFonts w:eastAsia="Times New Roman" w:cstheme="minorHAnsi"/>
                <w:color w:val="000000"/>
                <w:lang w:eastAsia="lv-LV"/>
              </w:rPr>
            </w:pPr>
            <w:r>
              <w:rPr>
                <w:rFonts w:eastAsia="Times New Roman" w:cstheme="minorHAnsi"/>
                <w:color w:val="000000"/>
                <w:lang w:eastAsia="lv-LV"/>
              </w:rPr>
              <w:t>85/+7</w:t>
            </w:r>
          </w:p>
        </w:tc>
        <w:tc>
          <w:tcPr>
            <w:tcW w:w="1134" w:type="dxa"/>
            <w:vAlign w:val="center"/>
          </w:tcPr>
          <w:p w14:paraId="28F003B4" w14:textId="033E55C1" w:rsidR="00D46D2B" w:rsidRPr="003D07A2" w:rsidRDefault="00311C51" w:rsidP="00D46D2B">
            <w:pPr>
              <w:spacing w:line="276" w:lineRule="auto"/>
              <w:jc w:val="center"/>
              <w:rPr>
                <w:rFonts w:eastAsia="Times New Roman" w:cstheme="minorHAnsi"/>
                <w:color w:val="000000"/>
                <w:lang w:eastAsia="lv-LV"/>
              </w:rPr>
            </w:pPr>
            <w:r>
              <w:rPr>
                <w:rFonts w:eastAsia="Times New Roman" w:cstheme="minorHAnsi"/>
                <w:color w:val="000000"/>
                <w:lang w:eastAsia="lv-LV"/>
              </w:rPr>
              <w:t>+8</w:t>
            </w:r>
          </w:p>
        </w:tc>
      </w:tr>
      <w:tr w:rsidR="00D46D2B" w:rsidRPr="003D07A2" w14:paraId="21C00247" w14:textId="77777777" w:rsidTr="00C86394">
        <w:trPr>
          <w:trHeight w:val="156"/>
        </w:trPr>
        <w:tc>
          <w:tcPr>
            <w:tcW w:w="3150" w:type="dxa"/>
            <w:vAlign w:val="center"/>
            <w:hideMark/>
          </w:tcPr>
          <w:p w14:paraId="7197B87F" w14:textId="77777777" w:rsidR="00D46D2B" w:rsidRPr="003D07A2" w:rsidRDefault="00D46D2B" w:rsidP="00D46D2B">
            <w:pPr>
              <w:spacing w:line="276" w:lineRule="auto"/>
              <w:rPr>
                <w:rFonts w:eastAsia="Times New Roman" w:cstheme="minorHAnsi"/>
                <w:color w:val="000000"/>
                <w:lang w:eastAsia="lv-LV"/>
              </w:rPr>
            </w:pPr>
            <w:r w:rsidRPr="003D07A2">
              <w:rPr>
                <w:rFonts w:eastAsia="Times New Roman" w:cstheme="minorHAnsi"/>
                <w:color w:val="000000"/>
                <w:lang w:eastAsia="lv-LV"/>
              </w:rPr>
              <w:t>Narkoloģija</w:t>
            </w:r>
          </w:p>
        </w:tc>
        <w:tc>
          <w:tcPr>
            <w:tcW w:w="1665" w:type="dxa"/>
            <w:vAlign w:val="center"/>
          </w:tcPr>
          <w:p w14:paraId="648DD493" w14:textId="1A8671A8" w:rsidR="00D46D2B" w:rsidRPr="003D07A2" w:rsidRDefault="00D46D2B" w:rsidP="00D46D2B">
            <w:pPr>
              <w:spacing w:line="276" w:lineRule="auto"/>
              <w:jc w:val="center"/>
              <w:rPr>
                <w:rFonts w:eastAsia="Times New Roman" w:cstheme="minorHAnsi"/>
                <w:color w:val="000000"/>
                <w:lang w:eastAsia="lv-LV"/>
              </w:rPr>
            </w:pPr>
            <w:r>
              <w:rPr>
                <w:rFonts w:eastAsia="Times New Roman" w:cstheme="minorHAnsi"/>
                <w:color w:val="000000"/>
                <w:lang w:eastAsia="lv-LV"/>
              </w:rPr>
              <w:t>126</w:t>
            </w:r>
          </w:p>
        </w:tc>
        <w:tc>
          <w:tcPr>
            <w:tcW w:w="1433" w:type="dxa"/>
            <w:vAlign w:val="center"/>
          </w:tcPr>
          <w:p w14:paraId="3020EFBC" w14:textId="3DA7BF1D" w:rsidR="00D46D2B" w:rsidRPr="003D07A2" w:rsidRDefault="00D46D2B" w:rsidP="00D46D2B">
            <w:pPr>
              <w:spacing w:line="276" w:lineRule="auto"/>
              <w:jc w:val="center"/>
              <w:rPr>
                <w:rFonts w:eastAsia="Times New Roman" w:cstheme="minorHAnsi"/>
                <w:lang w:eastAsia="lv-LV"/>
              </w:rPr>
            </w:pPr>
            <w:r>
              <w:rPr>
                <w:rFonts w:eastAsia="Times New Roman" w:cstheme="minorHAnsi"/>
                <w:lang w:eastAsia="lv-LV"/>
              </w:rPr>
              <w:t>127</w:t>
            </w:r>
          </w:p>
        </w:tc>
        <w:tc>
          <w:tcPr>
            <w:tcW w:w="1544" w:type="dxa"/>
            <w:vAlign w:val="center"/>
          </w:tcPr>
          <w:p w14:paraId="7A99BB16" w14:textId="356AB4A9" w:rsidR="00D46D2B" w:rsidRPr="003D07A2" w:rsidRDefault="00311C51" w:rsidP="00D46D2B">
            <w:pPr>
              <w:spacing w:line="276" w:lineRule="auto"/>
              <w:jc w:val="center"/>
              <w:rPr>
                <w:rFonts w:eastAsia="Times New Roman" w:cstheme="minorHAnsi"/>
                <w:color w:val="000000"/>
                <w:lang w:eastAsia="lv-LV"/>
              </w:rPr>
            </w:pPr>
            <w:r>
              <w:rPr>
                <w:rFonts w:eastAsia="Times New Roman" w:cstheme="minorHAnsi"/>
                <w:color w:val="000000"/>
                <w:lang w:eastAsia="lv-LV"/>
              </w:rPr>
              <w:t>115</w:t>
            </w:r>
          </w:p>
        </w:tc>
        <w:tc>
          <w:tcPr>
            <w:tcW w:w="1134" w:type="dxa"/>
            <w:vAlign w:val="center"/>
          </w:tcPr>
          <w:p w14:paraId="76AB393E" w14:textId="4F9854FD" w:rsidR="00D46D2B" w:rsidRPr="003D07A2" w:rsidRDefault="00D46D2B" w:rsidP="00D46D2B">
            <w:pPr>
              <w:spacing w:line="276" w:lineRule="auto"/>
              <w:jc w:val="center"/>
              <w:rPr>
                <w:rFonts w:eastAsia="Times New Roman" w:cstheme="minorHAnsi"/>
                <w:color w:val="000000"/>
                <w:lang w:eastAsia="lv-LV"/>
              </w:rPr>
            </w:pPr>
            <w:r>
              <w:rPr>
                <w:rFonts w:eastAsia="Times New Roman" w:cstheme="minorHAnsi"/>
                <w:color w:val="000000"/>
                <w:lang w:eastAsia="lv-LV"/>
              </w:rPr>
              <w:t>-1</w:t>
            </w:r>
            <w:r w:rsidR="00801BBC">
              <w:rPr>
                <w:rFonts w:eastAsia="Times New Roman" w:cstheme="minorHAnsi"/>
                <w:color w:val="000000"/>
                <w:lang w:eastAsia="lv-LV"/>
              </w:rPr>
              <w:t>1</w:t>
            </w:r>
          </w:p>
        </w:tc>
      </w:tr>
      <w:tr w:rsidR="00D46D2B" w:rsidRPr="003D07A2" w14:paraId="2C23E992" w14:textId="77777777" w:rsidTr="00C86394">
        <w:trPr>
          <w:trHeight w:val="331"/>
        </w:trPr>
        <w:tc>
          <w:tcPr>
            <w:tcW w:w="3150" w:type="dxa"/>
            <w:vAlign w:val="center"/>
            <w:hideMark/>
          </w:tcPr>
          <w:p w14:paraId="5E240FEB" w14:textId="77777777" w:rsidR="00D46D2B" w:rsidRPr="003D07A2" w:rsidRDefault="00D46D2B" w:rsidP="00D46D2B">
            <w:pPr>
              <w:spacing w:line="276" w:lineRule="auto"/>
              <w:rPr>
                <w:rFonts w:eastAsia="Times New Roman" w:cstheme="minorHAnsi"/>
                <w:color w:val="000000"/>
                <w:lang w:eastAsia="lv-LV"/>
              </w:rPr>
            </w:pPr>
            <w:r w:rsidRPr="003D07A2">
              <w:rPr>
                <w:rFonts w:eastAsia="Times New Roman" w:cstheme="minorHAnsi"/>
                <w:color w:val="000000"/>
                <w:lang w:eastAsia="lv-LV"/>
              </w:rPr>
              <w:t>Narkomānu rehabilitācija stacionārā (pieaugušajiem)</w:t>
            </w:r>
          </w:p>
        </w:tc>
        <w:tc>
          <w:tcPr>
            <w:tcW w:w="1665" w:type="dxa"/>
            <w:vAlign w:val="center"/>
          </w:tcPr>
          <w:p w14:paraId="28839811" w14:textId="7A38703E" w:rsidR="00D46D2B" w:rsidRPr="003D07A2" w:rsidRDefault="00D46D2B" w:rsidP="00D46D2B">
            <w:pPr>
              <w:spacing w:line="276" w:lineRule="auto"/>
              <w:jc w:val="center"/>
              <w:rPr>
                <w:rFonts w:eastAsia="Times New Roman" w:cstheme="minorHAnsi"/>
                <w:color w:val="000000"/>
                <w:lang w:eastAsia="lv-LV"/>
              </w:rPr>
            </w:pPr>
            <w:r>
              <w:rPr>
                <w:rFonts w:eastAsia="Times New Roman" w:cstheme="minorHAnsi"/>
                <w:color w:val="000000"/>
                <w:lang w:eastAsia="lv-LV"/>
              </w:rPr>
              <w:t>3/+6</w:t>
            </w:r>
          </w:p>
        </w:tc>
        <w:tc>
          <w:tcPr>
            <w:tcW w:w="1433" w:type="dxa"/>
            <w:vAlign w:val="center"/>
          </w:tcPr>
          <w:p w14:paraId="5B6D9B04" w14:textId="3FFFAFBA" w:rsidR="00D46D2B" w:rsidRPr="003D07A2" w:rsidRDefault="00D46D2B" w:rsidP="00D46D2B">
            <w:pPr>
              <w:spacing w:line="276" w:lineRule="auto"/>
              <w:jc w:val="center"/>
              <w:rPr>
                <w:rFonts w:eastAsia="Times New Roman" w:cstheme="minorHAnsi"/>
                <w:lang w:eastAsia="lv-LV"/>
              </w:rPr>
            </w:pPr>
            <w:r>
              <w:rPr>
                <w:rFonts w:eastAsia="Times New Roman" w:cstheme="minorHAnsi"/>
                <w:lang w:eastAsia="lv-LV"/>
              </w:rPr>
              <w:t>4</w:t>
            </w:r>
          </w:p>
        </w:tc>
        <w:tc>
          <w:tcPr>
            <w:tcW w:w="1544" w:type="dxa"/>
            <w:vAlign w:val="center"/>
          </w:tcPr>
          <w:p w14:paraId="16E0D64D" w14:textId="7803BB35" w:rsidR="00D46D2B" w:rsidRPr="003D07A2" w:rsidRDefault="00D46D2B" w:rsidP="00D46D2B">
            <w:pPr>
              <w:spacing w:line="276" w:lineRule="auto"/>
              <w:jc w:val="center"/>
              <w:rPr>
                <w:rFonts w:eastAsia="Times New Roman" w:cstheme="minorHAnsi"/>
                <w:color w:val="000000"/>
                <w:lang w:eastAsia="lv-LV"/>
              </w:rPr>
            </w:pPr>
            <w:r>
              <w:rPr>
                <w:rFonts w:eastAsia="Times New Roman" w:cstheme="minorHAnsi"/>
                <w:color w:val="000000"/>
                <w:lang w:eastAsia="lv-LV"/>
              </w:rPr>
              <w:t>3/+6</w:t>
            </w:r>
          </w:p>
        </w:tc>
        <w:tc>
          <w:tcPr>
            <w:tcW w:w="1134" w:type="dxa"/>
            <w:vAlign w:val="center"/>
          </w:tcPr>
          <w:p w14:paraId="4A8A0663" w14:textId="22461748" w:rsidR="00D46D2B" w:rsidRPr="003D07A2" w:rsidRDefault="00CF0F27" w:rsidP="00D46D2B">
            <w:pPr>
              <w:spacing w:line="276" w:lineRule="auto"/>
              <w:jc w:val="center"/>
              <w:rPr>
                <w:rFonts w:eastAsia="Times New Roman" w:cstheme="minorHAnsi"/>
                <w:color w:val="000000"/>
                <w:lang w:eastAsia="lv-LV"/>
              </w:rPr>
            </w:pPr>
            <w:r>
              <w:rPr>
                <w:rFonts w:eastAsia="Times New Roman" w:cstheme="minorHAnsi"/>
                <w:color w:val="000000"/>
                <w:lang w:eastAsia="lv-LV"/>
              </w:rPr>
              <w:t>-</w:t>
            </w:r>
          </w:p>
        </w:tc>
      </w:tr>
      <w:tr w:rsidR="00D46D2B" w:rsidRPr="003D07A2" w14:paraId="05E38A06" w14:textId="77777777" w:rsidTr="00C86394">
        <w:trPr>
          <w:trHeight w:val="495"/>
        </w:trPr>
        <w:tc>
          <w:tcPr>
            <w:tcW w:w="3150" w:type="dxa"/>
            <w:vAlign w:val="center"/>
            <w:hideMark/>
          </w:tcPr>
          <w:p w14:paraId="78C44533" w14:textId="39B857AA" w:rsidR="00D46D2B" w:rsidRPr="003D07A2" w:rsidRDefault="00D46D2B" w:rsidP="00D46D2B">
            <w:pPr>
              <w:spacing w:line="276" w:lineRule="auto"/>
              <w:rPr>
                <w:rFonts w:eastAsia="Times New Roman" w:cstheme="minorHAnsi"/>
                <w:color w:val="000000"/>
                <w:lang w:eastAsia="lv-LV"/>
              </w:rPr>
            </w:pPr>
            <w:r w:rsidRPr="003D07A2">
              <w:rPr>
                <w:rFonts w:eastAsia="Times New Roman" w:cstheme="minorHAnsi"/>
                <w:color w:val="000000"/>
                <w:lang w:eastAsia="lv-LV"/>
              </w:rPr>
              <w:t>Narkomānu rehabilitācija stacionārā bērniem</w:t>
            </w:r>
          </w:p>
        </w:tc>
        <w:tc>
          <w:tcPr>
            <w:tcW w:w="1665" w:type="dxa"/>
            <w:vAlign w:val="center"/>
          </w:tcPr>
          <w:p w14:paraId="1C9FBA74" w14:textId="6FD65EFD" w:rsidR="00D46D2B" w:rsidRPr="003D07A2" w:rsidRDefault="00D46D2B" w:rsidP="00D46D2B">
            <w:pPr>
              <w:spacing w:line="276" w:lineRule="auto"/>
              <w:jc w:val="center"/>
              <w:rPr>
                <w:rFonts w:eastAsia="Times New Roman" w:cstheme="minorHAnsi"/>
                <w:color w:val="000000"/>
                <w:lang w:eastAsia="lv-LV"/>
              </w:rPr>
            </w:pPr>
            <w:r>
              <w:rPr>
                <w:rFonts w:eastAsia="Times New Roman" w:cstheme="minorHAnsi"/>
                <w:color w:val="000000"/>
                <w:lang w:eastAsia="lv-LV"/>
              </w:rPr>
              <w:t>10</w:t>
            </w:r>
          </w:p>
        </w:tc>
        <w:tc>
          <w:tcPr>
            <w:tcW w:w="1433" w:type="dxa"/>
            <w:vAlign w:val="center"/>
          </w:tcPr>
          <w:p w14:paraId="36C0B09C" w14:textId="10EA3877" w:rsidR="00D46D2B" w:rsidRPr="003D07A2" w:rsidRDefault="00471D34" w:rsidP="00D46D2B">
            <w:pPr>
              <w:spacing w:line="276" w:lineRule="auto"/>
              <w:jc w:val="center"/>
              <w:rPr>
                <w:rFonts w:eastAsia="Times New Roman" w:cstheme="minorHAnsi"/>
                <w:lang w:eastAsia="lv-LV"/>
              </w:rPr>
            </w:pPr>
            <w:r>
              <w:rPr>
                <w:rFonts w:eastAsia="Times New Roman" w:cstheme="minorHAnsi"/>
                <w:lang w:eastAsia="lv-LV"/>
              </w:rPr>
              <w:t>13</w:t>
            </w:r>
          </w:p>
        </w:tc>
        <w:tc>
          <w:tcPr>
            <w:tcW w:w="1544" w:type="dxa"/>
            <w:vAlign w:val="center"/>
          </w:tcPr>
          <w:p w14:paraId="19441A8E" w14:textId="7530174D" w:rsidR="00D46D2B" w:rsidRPr="003D07A2" w:rsidRDefault="00F15F86" w:rsidP="00D46D2B">
            <w:pPr>
              <w:spacing w:line="276" w:lineRule="auto"/>
              <w:jc w:val="center"/>
              <w:rPr>
                <w:rFonts w:eastAsia="Times New Roman" w:cstheme="minorHAnsi"/>
                <w:color w:val="000000"/>
                <w:lang w:eastAsia="lv-LV"/>
              </w:rPr>
            </w:pPr>
            <w:r>
              <w:rPr>
                <w:rFonts w:eastAsia="Times New Roman" w:cstheme="minorHAnsi"/>
                <w:color w:val="000000"/>
                <w:lang w:eastAsia="lv-LV"/>
              </w:rPr>
              <w:t>6</w:t>
            </w:r>
          </w:p>
        </w:tc>
        <w:tc>
          <w:tcPr>
            <w:tcW w:w="1134" w:type="dxa"/>
            <w:vAlign w:val="center"/>
          </w:tcPr>
          <w:p w14:paraId="64BB70CE" w14:textId="4262361A" w:rsidR="00D46D2B" w:rsidRPr="003D07A2" w:rsidRDefault="00D46D2B" w:rsidP="00D46D2B">
            <w:pPr>
              <w:spacing w:line="276" w:lineRule="auto"/>
              <w:jc w:val="center"/>
              <w:rPr>
                <w:rFonts w:eastAsia="Times New Roman" w:cstheme="minorHAnsi"/>
                <w:color w:val="000000"/>
                <w:lang w:eastAsia="lv-LV"/>
              </w:rPr>
            </w:pPr>
            <w:r>
              <w:rPr>
                <w:rFonts w:eastAsia="Times New Roman" w:cstheme="minorHAnsi"/>
                <w:color w:val="000000"/>
                <w:lang w:eastAsia="lv-LV"/>
              </w:rPr>
              <w:t>-</w:t>
            </w:r>
            <w:r w:rsidR="00F15F86">
              <w:rPr>
                <w:rFonts w:eastAsia="Times New Roman" w:cstheme="minorHAnsi"/>
                <w:color w:val="000000"/>
                <w:lang w:eastAsia="lv-LV"/>
              </w:rPr>
              <w:t>4</w:t>
            </w:r>
          </w:p>
        </w:tc>
      </w:tr>
      <w:tr w:rsidR="00D46D2B" w:rsidRPr="003D07A2" w14:paraId="3507D5E0" w14:textId="77777777" w:rsidTr="00C86394">
        <w:trPr>
          <w:trHeight w:val="517"/>
        </w:trPr>
        <w:tc>
          <w:tcPr>
            <w:tcW w:w="3150" w:type="dxa"/>
            <w:vAlign w:val="center"/>
            <w:hideMark/>
          </w:tcPr>
          <w:p w14:paraId="0532ACF9" w14:textId="77777777" w:rsidR="00D46D2B" w:rsidRPr="003D07A2" w:rsidRDefault="00D46D2B" w:rsidP="00D46D2B">
            <w:pPr>
              <w:spacing w:line="276" w:lineRule="auto"/>
              <w:rPr>
                <w:rFonts w:eastAsia="Times New Roman" w:cstheme="minorHAnsi"/>
                <w:color w:val="000000"/>
                <w:lang w:eastAsia="lv-LV"/>
              </w:rPr>
            </w:pPr>
            <w:r w:rsidRPr="003D07A2">
              <w:rPr>
                <w:rFonts w:eastAsia="Times New Roman" w:cstheme="minorHAnsi"/>
                <w:color w:val="000000"/>
                <w:lang w:eastAsia="lv-LV"/>
              </w:rPr>
              <w:t>Obligātā narkoloģiskā palīdzība bērniem pēc bāriņtiesas lēmuma</w:t>
            </w:r>
          </w:p>
        </w:tc>
        <w:tc>
          <w:tcPr>
            <w:tcW w:w="1665" w:type="dxa"/>
            <w:vAlign w:val="center"/>
          </w:tcPr>
          <w:p w14:paraId="0422870E" w14:textId="40EACFBB" w:rsidR="00D46D2B" w:rsidRPr="003D07A2" w:rsidRDefault="00D46D2B" w:rsidP="00D46D2B">
            <w:pPr>
              <w:spacing w:line="276" w:lineRule="auto"/>
              <w:jc w:val="center"/>
              <w:rPr>
                <w:rFonts w:eastAsia="Times New Roman" w:cstheme="minorHAnsi"/>
                <w:color w:val="000000"/>
                <w:lang w:eastAsia="lv-LV"/>
              </w:rPr>
            </w:pPr>
            <w:r>
              <w:rPr>
                <w:rFonts w:eastAsia="Times New Roman" w:cstheme="minorHAnsi"/>
                <w:color w:val="000000"/>
                <w:lang w:eastAsia="lv-LV"/>
              </w:rPr>
              <w:t>0/+1</w:t>
            </w:r>
          </w:p>
        </w:tc>
        <w:tc>
          <w:tcPr>
            <w:tcW w:w="1433" w:type="dxa"/>
            <w:vAlign w:val="center"/>
          </w:tcPr>
          <w:p w14:paraId="3BA3D936" w14:textId="76E0251D" w:rsidR="00D46D2B" w:rsidRPr="003D07A2" w:rsidRDefault="00D46D2B" w:rsidP="00D46D2B">
            <w:pPr>
              <w:spacing w:line="276" w:lineRule="auto"/>
              <w:jc w:val="center"/>
              <w:rPr>
                <w:rFonts w:eastAsia="Times New Roman" w:cstheme="minorHAnsi"/>
                <w:lang w:eastAsia="lv-LV"/>
              </w:rPr>
            </w:pPr>
            <w:r>
              <w:rPr>
                <w:rFonts w:eastAsia="Times New Roman" w:cstheme="minorHAnsi"/>
                <w:lang w:eastAsia="lv-LV"/>
              </w:rPr>
              <w:t>1</w:t>
            </w:r>
          </w:p>
        </w:tc>
        <w:tc>
          <w:tcPr>
            <w:tcW w:w="1544" w:type="dxa"/>
            <w:vAlign w:val="center"/>
          </w:tcPr>
          <w:p w14:paraId="17D0BE24" w14:textId="08764F27" w:rsidR="00D46D2B" w:rsidRPr="003D07A2" w:rsidRDefault="00547261" w:rsidP="00D46D2B">
            <w:pPr>
              <w:spacing w:line="276" w:lineRule="auto"/>
              <w:jc w:val="center"/>
              <w:rPr>
                <w:rFonts w:eastAsia="Times New Roman" w:cstheme="minorHAnsi"/>
                <w:color w:val="000000"/>
                <w:lang w:eastAsia="lv-LV"/>
              </w:rPr>
            </w:pPr>
            <w:r>
              <w:rPr>
                <w:rFonts w:eastAsia="Times New Roman" w:cstheme="minorHAnsi"/>
                <w:color w:val="000000"/>
                <w:lang w:eastAsia="lv-LV"/>
              </w:rPr>
              <w:t>0</w:t>
            </w:r>
          </w:p>
        </w:tc>
        <w:tc>
          <w:tcPr>
            <w:tcW w:w="1134" w:type="dxa"/>
            <w:vAlign w:val="center"/>
          </w:tcPr>
          <w:p w14:paraId="3E1B3688" w14:textId="1FEBEF6B" w:rsidR="00D46D2B" w:rsidRPr="003D07A2" w:rsidRDefault="00D46D2B" w:rsidP="00D46D2B">
            <w:pPr>
              <w:spacing w:line="276" w:lineRule="auto"/>
              <w:jc w:val="center"/>
              <w:rPr>
                <w:rFonts w:eastAsia="Times New Roman" w:cstheme="minorHAnsi"/>
                <w:color w:val="000000"/>
                <w:lang w:eastAsia="lv-LV"/>
              </w:rPr>
            </w:pPr>
            <w:r>
              <w:rPr>
                <w:rFonts w:eastAsia="Times New Roman" w:cstheme="minorHAnsi"/>
                <w:color w:val="000000"/>
                <w:lang w:eastAsia="lv-LV"/>
              </w:rPr>
              <w:t>-</w:t>
            </w:r>
            <w:r w:rsidR="00547261">
              <w:rPr>
                <w:rFonts w:eastAsia="Times New Roman" w:cstheme="minorHAnsi"/>
                <w:color w:val="000000"/>
                <w:lang w:eastAsia="lv-LV"/>
              </w:rPr>
              <w:t>1</w:t>
            </w:r>
          </w:p>
        </w:tc>
      </w:tr>
      <w:tr w:rsidR="00D46D2B" w:rsidRPr="003D07A2" w14:paraId="29356831" w14:textId="77777777" w:rsidTr="00C86394">
        <w:trPr>
          <w:trHeight w:val="483"/>
        </w:trPr>
        <w:tc>
          <w:tcPr>
            <w:tcW w:w="3150" w:type="dxa"/>
            <w:vAlign w:val="center"/>
            <w:hideMark/>
          </w:tcPr>
          <w:p w14:paraId="08A4BD62" w14:textId="77777777" w:rsidR="00D46D2B" w:rsidRPr="003D07A2" w:rsidRDefault="00D46D2B" w:rsidP="00D46D2B">
            <w:pPr>
              <w:spacing w:line="276" w:lineRule="auto"/>
              <w:rPr>
                <w:rFonts w:eastAsia="Times New Roman" w:cstheme="minorHAnsi"/>
                <w:color w:val="000000"/>
                <w:lang w:eastAsia="lv-LV"/>
              </w:rPr>
            </w:pPr>
            <w:r w:rsidRPr="003D07A2">
              <w:rPr>
                <w:rFonts w:eastAsia="Times New Roman" w:cstheme="minorHAnsi"/>
                <w:color w:val="000000"/>
                <w:lang w:eastAsia="lv-LV"/>
              </w:rPr>
              <w:t>Minesotas programma stacionārā</w:t>
            </w:r>
          </w:p>
        </w:tc>
        <w:tc>
          <w:tcPr>
            <w:tcW w:w="1665" w:type="dxa"/>
            <w:vAlign w:val="center"/>
          </w:tcPr>
          <w:p w14:paraId="33020543" w14:textId="4FF39497" w:rsidR="00D46D2B" w:rsidRPr="003D07A2" w:rsidRDefault="00D46D2B" w:rsidP="00D46D2B">
            <w:pPr>
              <w:spacing w:line="276" w:lineRule="auto"/>
              <w:jc w:val="center"/>
              <w:rPr>
                <w:rFonts w:eastAsia="Times New Roman" w:cstheme="minorHAnsi"/>
                <w:color w:val="000000"/>
                <w:lang w:eastAsia="lv-LV"/>
              </w:rPr>
            </w:pPr>
            <w:r>
              <w:rPr>
                <w:rFonts w:eastAsia="Times New Roman" w:cstheme="minorHAnsi"/>
                <w:color w:val="000000"/>
                <w:lang w:eastAsia="lv-LV"/>
              </w:rPr>
              <w:t>32/+3</w:t>
            </w:r>
          </w:p>
        </w:tc>
        <w:tc>
          <w:tcPr>
            <w:tcW w:w="1433" w:type="dxa"/>
            <w:vAlign w:val="center"/>
          </w:tcPr>
          <w:p w14:paraId="6F9098B4" w14:textId="7A3E2D5B" w:rsidR="00D46D2B" w:rsidRPr="003D07A2" w:rsidRDefault="00471D34" w:rsidP="00D46D2B">
            <w:pPr>
              <w:spacing w:line="276" w:lineRule="auto"/>
              <w:jc w:val="center"/>
              <w:rPr>
                <w:rFonts w:eastAsia="Times New Roman" w:cstheme="minorHAnsi"/>
                <w:lang w:eastAsia="lv-LV"/>
              </w:rPr>
            </w:pPr>
            <w:r>
              <w:rPr>
                <w:rFonts w:eastAsia="Times New Roman" w:cstheme="minorHAnsi"/>
                <w:lang w:eastAsia="lv-LV"/>
              </w:rPr>
              <w:t>33</w:t>
            </w:r>
          </w:p>
        </w:tc>
        <w:tc>
          <w:tcPr>
            <w:tcW w:w="1544" w:type="dxa"/>
            <w:vAlign w:val="center"/>
          </w:tcPr>
          <w:p w14:paraId="193F2888" w14:textId="4A0123AD" w:rsidR="00D46D2B" w:rsidRPr="003D07A2" w:rsidRDefault="00547261" w:rsidP="00D46D2B">
            <w:pPr>
              <w:spacing w:line="276" w:lineRule="auto"/>
              <w:jc w:val="center"/>
              <w:rPr>
                <w:rFonts w:eastAsia="Times New Roman" w:cstheme="minorHAnsi"/>
                <w:color w:val="000000"/>
                <w:lang w:eastAsia="lv-LV"/>
              </w:rPr>
            </w:pPr>
            <w:r>
              <w:rPr>
                <w:rFonts w:eastAsia="Times New Roman" w:cstheme="minorHAnsi"/>
                <w:color w:val="000000"/>
                <w:lang w:eastAsia="lv-LV"/>
              </w:rPr>
              <w:t>28</w:t>
            </w:r>
          </w:p>
        </w:tc>
        <w:tc>
          <w:tcPr>
            <w:tcW w:w="1134" w:type="dxa"/>
            <w:vAlign w:val="center"/>
          </w:tcPr>
          <w:p w14:paraId="270295B1" w14:textId="25408604" w:rsidR="00D46D2B" w:rsidRPr="003D07A2" w:rsidRDefault="00355E84" w:rsidP="00D46D2B">
            <w:pPr>
              <w:spacing w:line="276" w:lineRule="auto"/>
              <w:jc w:val="center"/>
              <w:rPr>
                <w:rFonts w:eastAsia="Times New Roman" w:cstheme="minorHAnsi"/>
                <w:color w:val="000000"/>
                <w:lang w:eastAsia="lv-LV"/>
              </w:rPr>
            </w:pPr>
            <w:r>
              <w:rPr>
                <w:rFonts w:eastAsia="Times New Roman" w:cstheme="minorHAnsi"/>
                <w:color w:val="000000"/>
                <w:lang w:eastAsia="lv-LV"/>
              </w:rPr>
              <w:t>-7</w:t>
            </w:r>
          </w:p>
        </w:tc>
      </w:tr>
      <w:tr w:rsidR="00471D34" w:rsidRPr="003D07A2" w14:paraId="432103A9" w14:textId="77777777" w:rsidTr="00C86394">
        <w:trPr>
          <w:trHeight w:val="483"/>
        </w:trPr>
        <w:tc>
          <w:tcPr>
            <w:tcW w:w="3150" w:type="dxa"/>
            <w:vAlign w:val="center"/>
          </w:tcPr>
          <w:p w14:paraId="5BF948A2" w14:textId="51DE2E5F" w:rsidR="00471D34" w:rsidRPr="00471D34" w:rsidRDefault="00471D34" w:rsidP="00471D34">
            <w:pPr>
              <w:jc w:val="both"/>
              <w:rPr>
                <w:rFonts w:eastAsia="Times New Roman" w:cstheme="minorHAnsi"/>
                <w:color w:val="000000"/>
                <w:lang w:eastAsia="lv-LV"/>
              </w:rPr>
            </w:pPr>
            <w:r w:rsidRPr="00471D34">
              <w:rPr>
                <w:rFonts w:cstheme="minorHAnsi"/>
              </w:rPr>
              <w:t xml:space="preserve">Atkarību izraisošu vielu nepilngadīgo rehabilitācija stacionārā bērniem (līdz 30 dienām) </w:t>
            </w:r>
          </w:p>
        </w:tc>
        <w:tc>
          <w:tcPr>
            <w:tcW w:w="1665" w:type="dxa"/>
            <w:vAlign w:val="center"/>
          </w:tcPr>
          <w:p w14:paraId="05645834" w14:textId="2DC0EC01" w:rsidR="00471D34" w:rsidRDefault="00471D34" w:rsidP="00D46D2B">
            <w:pPr>
              <w:spacing w:line="276" w:lineRule="auto"/>
              <w:jc w:val="center"/>
              <w:rPr>
                <w:rFonts w:eastAsia="Times New Roman" w:cstheme="minorHAnsi"/>
                <w:color w:val="000000"/>
                <w:lang w:eastAsia="lv-LV"/>
              </w:rPr>
            </w:pPr>
            <w:r>
              <w:rPr>
                <w:rFonts w:eastAsia="Times New Roman" w:cstheme="minorHAnsi"/>
                <w:color w:val="000000"/>
                <w:lang w:eastAsia="lv-LV"/>
              </w:rPr>
              <w:t>0</w:t>
            </w:r>
          </w:p>
        </w:tc>
        <w:tc>
          <w:tcPr>
            <w:tcW w:w="1433" w:type="dxa"/>
            <w:vAlign w:val="center"/>
          </w:tcPr>
          <w:p w14:paraId="75988533" w14:textId="6E45ED56" w:rsidR="00471D34" w:rsidRDefault="000C5B11" w:rsidP="00D46D2B">
            <w:pPr>
              <w:spacing w:line="276" w:lineRule="auto"/>
              <w:jc w:val="center"/>
              <w:rPr>
                <w:rFonts w:eastAsia="Times New Roman" w:cstheme="minorHAnsi"/>
                <w:lang w:eastAsia="lv-LV"/>
              </w:rPr>
            </w:pPr>
            <w:r>
              <w:rPr>
                <w:rFonts w:eastAsia="Times New Roman" w:cstheme="minorHAnsi"/>
                <w:lang w:eastAsia="lv-LV"/>
              </w:rPr>
              <w:t>6</w:t>
            </w:r>
          </w:p>
        </w:tc>
        <w:tc>
          <w:tcPr>
            <w:tcW w:w="1544" w:type="dxa"/>
            <w:vAlign w:val="center"/>
          </w:tcPr>
          <w:p w14:paraId="773AEC36" w14:textId="37621528" w:rsidR="00471D34" w:rsidRDefault="00355E84" w:rsidP="00D46D2B">
            <w:pPr>
              <w:spacing w:line="276" w:lineRule="auto"/>
              <w:jc w:val="center"/>
              <w:rPr>
                <w:rFonts w:eastAsia="Times New Roman" w:cstheme="minorHAnsi"/>
                <w:color w:val="000000"/>
                <w:lang w:eastAsia="lv-LV"/>
              </w:rPr>
            </w:pPr>
            <w:r>
              <w:rPr>
                <w:rFonts w:eastAsia="Times New Roman" w:cstheme="minorHAnsi"/>
                <w:color w:val="000000"/>
                <w:lang w:eastAsia="lv-LV"/>
              </w:rPr>
              <w:t>3</w:t>
            </w:r>
          </w:p>
        </w:tc>
        <w:tc>
          <w:tcPr>
            <w:tcW w:w="1134" w:type="dxa"/>
            <w:vAlign w:val="center"/>
          </w:tcPr>
          <w:p w14:paraId="2A84C908" w14:textId="40E4EE67" w:rsidR="00471D34" w:rsidRDefault="00AF5E14" w:rsidP="00D46D2B">
            <w:pPr>
              <w:spacing w:line="276" w:lineRule="auto"/>
              <w:jc w:val="center"/>
              <w:rPr>
                <w:rFonts w:eastAsia="Times New Roman" w:cstheme="minorHAnsi"/>
                <w:color w:val="000000"/>
                <w:lang w:eastAsia="lv-LV"/>
              </w:rPr>
            </w:pPr>
            <w:r>
              <w:rPr>
                <w:rFonts w:eastAsia="Times New Roman" w:cstheme="minorHAnsi"/>
                <w:color w:val="000000"/>
                <w:lang w:eastAsia="lv-LV"/>
              </w:rPr>
              <w:t>-</w:t>
            </w:r>
          </w:p>
        </w:tc>
      </w:tr>
      <w:tr w:rsidR="00471D34" w:rsidRPr="003D07A2" w14:paraId="66C3E174" w14:textId="77777777" w:rsidTr="00C86394">
        <w:trPr>
          <w:trHeight w:val="483"/>
        </w:trPr>
        <w:tc>
          <w:tcPr>
            <w:tcW w:w="3150" w:type="dxa"/>
            <w:vAlign w:val="center"/>
          </w:tcPr>
          <w:p w14:paraId="192AC090" w14:textId="53A5D6EA" w:rsidR="00471D34" w:rsidRPr="00471D34" w:rsidRDefault="00471D34" w:rsidP="00471D34">
            <w:pPr>
              <w:jc w:val="both"/>
              <w:rPr>
                <w:rFonts w:cstheme="minorHAnsi"/>
              </w:rPr>
            </w:pPr>
            <w:r w:rsidRPr="00471D34">
              <w:rPr>
                <w:rFonts w:cstheme="minorHAnsi"/>
              </w:rPr>
              <w:t xml:space="preserve">Atkarību izraisošu vielu nepilngadīgo rehabilitācija stacionārā bērniem (līdz 60 dienām) </w:t>
            </w:r>
          </w:p>
          <w:p w14:paraId="55535BE6" w14:textId="77777777" w:rsidR="00471D34" w:rsidRPr="003D07A2" w:rsidRDefault="00471D34" w:rsidP="00D46D2B">
            <w:pPr>
              <w:spacing w:line="276" w:lineRule="auto"/>
              <w:rPr>
                <w:rFonts w:eastAsia="Times New Roman" w:cstheme="minorHAnsi"/>
                <w:color w:val="000000"/>
                <w:lang w:eastAsia="lv-LV"/>
              </w:rPr>
            </w:pPr>
          </w:p>
        </w:tc>
        <w:tc>
          <w:tcPr>
            <w:tcW w:w="1665" w:type="dxa"/>
            <w:vAlign w:val="center"/>
          </w:tcPr>
          <w:p w14:paraId="79F95B38" w14:textId="5D2AA353" w:rsidR="00471D34" w:rsidRDefault="00471D34" w:rsidP="00D46D2B">
            <w:pPr>
              <w:spacing w:line="276" w:lineRule="auto"/>
              <w:jc w:val="center"/>
              <w:rPr>
                <w:rFonts w:eastAsia="Times New Roman" w:cstheme="minorHAnsi"/>
                <w:color w:val="000000"/>
                <w:lang w:eastAsia="lv-LV"/>
              </w:rPr>
            </w:pPr>
            <w:r>
              <w:rPr>
                <w:rFonts w:eastAsia="Times New Roman" w:cstheme="minorHAnsi"/>
                <w:color w:val="000000"/>
                <w:lang w:eastAsia="lv-LV"/>
              </w:rPr>
              <w:t>0</w:t>
            </w:r>
          </w:p>
        </w:tc>
        <w:tc>
          <w:tcPr>
            <w:tcW w:w="1433" w:type="dxa"/>
            <w:vAlign w:val="center"/>
          </w:tcPr>
          <w:p w14:paraId="6E2D7D49" w14:textId="0BAEE871" w:rsidR="00471D34" w:rsidRDefault="000C5B11" w:rsidP="00D46D2B">
            <w:pPr>
              <w:spacing w:line="276" w:lineRule="auto"/>
              <w:jc w:val="center"/>
              <w:rPr>
                <w:rFonts w:eastAsia="Times New Roman" w:cstheme="minorHAnsi"/>
                <w:lang w:eastAsia="lv-LV"/>
              </w:rPr>
            </w:pPr>
            <w:r>
              <w:rPr>
                <w:rFonts w:eastAsia="Times New Roman" w:cstheme="minorHAnsi"/>
                <w:lang w:eastAsia="lv-LV"/>
              </w:rPr>
              <w:t>2</w:t>
            </w:r>
          </w:p>
        </w:tc>
        <w:tc>
          <w:tcPr>
            <w:tcW w:w="1544" w:type="dxa"/>
            <w:vAlign w:val="center"/>
          </w:tcPr>
          <w:p w14:paraId="622C42CB" w14:textId="3211B5A7" w:rsidR="00471D34" w:rsidRDefault="00355E84" w:rsidP="00D46D2B">
            <w:pPr>
              <w:spacing w:line="276" w:lineRule="auto"/>
              <w:jc w:val="center"/>
              <w:rPr>
                <w:rFonts w:eastAsia="Times New Roman" w:cstheme="minorHAnsi"/>
                <w:color w:val="000000"/>
                <w:lang w:eastAsia="lv-LV"/>
              </w:rPr>
            </w:pPr>
            <w:r>
              <w:rPr>
                <w:rFonts w:eastAsia="Times New Roman" w:cstheme="minorHAnsi"/>
                <w:color w:val="000000"/>
                <w:lang w:eastAsia="lv-LV"/>
              </w:rPr>
              <w:t>1</w:t>
            </w:r>
          </w:p>
        </w:tc>
        <w:tc>
          <w:tcPr>
            <w:tcW w:w="1134" w:type="dxa"/>
            <w:vAlign w:val="center"/>
          </w:tcPr>
          <w:p w14:paraId="570B4787" w14:textId="31041483" w:rsidR="00471D34" w:rsidRDefault="00AF5E14" w:rsidP="00D46D2B">
            <w:pPr>
              <w:spacing w:line="276" w:lineRule="auto"/>
              <w:jc w:val="center"/>
              <w:rPr>
                <w:rFonts w:eastAsia="Times New Roman" w:cstheme="minorHAnsi"/>
                <w:color w:val="000000"/>
                <w:lang w:eastAsia="lv-LV"/>
              </w:rPr>
            </w:pPr>
            <w:r>
              <w:rPr>
                <w:rFonts w:eastAsia="Times New Roman" w:cstheme="minorHAnsi"/>
                <w:color w:val="000000"/>
                <w:lang w:eastAsia="lv-LV"/>
              </w:rPr>
              <w:t>-</w:t>
            </w:r>
          </w:p>
        </w:tc>
      </w:tr>
      <w:tr w:rsidR="00D46D2B" w:rsidRPr="003D07A2" w14:paraId="40C53A99" w14:textId="77777777" w:rsidTr="00C86394">
        <w:trPr>
          <w:trHeight w:val="185"/>
        </w:trPr>
        <w:tc>
          <w:tcPr>
            <w:tcW w:w="3150" w:type="dxa"/>
            <w:noWrap/>
            <w:vAlign w:val="center"/>
            <w:hideMark/>
          </w:tcPr>
          <w:p w14:paraId="00EADED2" w14:textId="17540D35" w:rsidR="00D46D2B" w:rsidRPr="003D07A2" w:rsidRDefault="00D46D2B" w:rsidP="00D46D2B">
            <w:pPr>
              <w:spacing w:line="276" w:lineRule="auto"/>
              <w:rPr>
                <w:rFonts w:eastAsia="Times New Roman" w:cstheme="minorHAnsi"/>
                <w:color w:val="000000"/>
                <w:lang w:eastAsia="lv-LV"/>
              </w:rPr>
            </w:pPr>
            <w:r w:rsidRPr="003D07A2">
              <w:rPr>
                <w:rFonts w:eastAsia="Times New Roman" w:cstheme="minorHAnsi"/>
                <w:color w:val="000000"/>
                <w:lang w:eastAsia="lv-LV"/>
              </w:rPr>
              <w:t>Kopā</w:t>
            </w:r>
          </w:p>
        </w:tc>
        <w:tc>
          <w:tcPr>
            <w:tcW w:w="1665" w:type="dxa"/>
            <w:vAlign w:val="center"/>
          </w:tcPr>
          <w:p w14:paraId="4D72C88C" w14:textId="42CC5746" w:rsidR="00D46D2B" w:rsidRPr="003D07A2" w:rsidRDefault="00D46D2B" w:rsidP="00D46D2B">
            <w:pPr>
              <w:spacing w:line="276" w:lineRule="auto"/>
              <w:jc w:val="center"/>
              <w:rPr>
                <w:rFonts w:eastAsia="Times New Roman" w:cstheme="minorHAnsi"/>
                <w:color w:val="000000"/>
                <w:lang w:eastAsia="lv-LV"/>
              </w:rPr>
            </w:pPr>
            <w:r>
              <w:rPr>
                <w:rFonts w:eastAsia="Times New Roman" w:cstheme="minorHAnsi"/>
                <w:color w:val="000000"/>
                <w:lang w:eastAsia="lv-LV"/>
              </w:rPr>
              <w:t>755/+54</w:t>
            </w:r>
          </w:p>
        </w:tc>
        <w:tc>
          <w:tcPr>
            <w:tcW w:w="1433" w:type="dxa"/>
            <w:noWrap/>
            <w:vAlign w:val="center"/>
          </w:tcPr>
          <w:p w14:paraId="47848DC8" w14:textId="49766E82" w:rsidR="00D46D2B" w:rsidRPr="003D07A2" w:rsidRDefault="00D46D2B" w:rsidP="00D46D2B">
            <w:pPr>
              <w:spacing w:line="276" w:lineRule="auto"/>
              <w:jc w:val="center"/>
              <w:rPr>
                <w:rFonts w:eastAsia="Times New Roman" w:cstheme="minorHAnsi"/>
                <w:lang w:eastAsia="lv-LV"/>
              </w:rPr>
            </w:pPr>
            <w:r>
              <w:rPr>
                <w:rFonts w:eastAsia="Times New Roman" w:cstheme="minorHAnsi"/>
                <w:lang w:eastAsia="lv-LV"/>
              </w:rPr>
              <w:t>770</w:t>
            </w:r>
          </w:p>
        </w:tc>
        <w:tc>
          <w:tcPr>
            <w:tcW w:w="1544" w:type="dxa"/>
            <w:vAlign w:val="center"/>
          </w:tcPr>
          <w:p w14:paraId="43401EAD" w14:textId="58CE3B3C" w:rsidR="00D46D2B" w:rsidRPr="003D07A2" w:rsidRDefault="00706E2B" w:rsidP="00D46D2B">
            <w:pPr>
              <w:spacing w:line="276" w:lineRule="auto"/>
              <w:jc w:val="center"/>
              <w:rPr>
                <w:rFonts w:eastAsia="Times New Roman" w:cstheme="minorHAnsi"/>
                <w:color w:val="000000"/>
                <w:lang w:eastAsia="lv-LV"/>
              </w:rPr>
            </w:pPr>
            <w:r>
              <w:rPr>
                <w:rFonts w:eastAsia="Times New Roman" w:cstheme="minorHAnsi"/>
                <w:color w:val="000000"/>
                <w:lang w:eastAsia="lv-LV"/>
              </w:rPr>
              <w:t>740</w:t>
            </w:r>
            <w:r w:rsidR="00D46D2B">
              <w:rPr>
                <w:rFonts w:eastAsia="Times New Roman" w:cstheme="minorHAnsi"/>
                <w:color w:val="000000"/>
                <w:lang w:eastAsia="lv-LV"/>
              </w:rPr>
              <w:t>/+</w:t>
            </w:r>
            <w:r>
              <w:rPr>
                <w:rFonts w:eastAsia="Times New Roman" w:cstheme="minorHAnsi"/>
                <w:color w:val="000000"/>
                <w:lang w:eastAsia="lv-LV"/>
              </w:rPr>
              <w:t>36</w:t>
            </w:r>
          </w:p>
        </w:tc>
        <w:tc>
          <w:tcPr>
            <w:tcW w:w="1134" w:type="dxa"/>
            <w:vAlign w:val="center"/>
          </w:tcPr>
          <w:p w14:paraId="0DE5B7B4" w14:textId="69EC884D" w:rsidR="00D46D2B" w:rsidRPr="003D07A2" w:rsidRDefault="00BA3A1A" w:rsidP="00D46D2B">
            <w:pPr>
              <w:spacing w:line="276" w:lineRule="auto"/>
              <w:jc w:val="center"/>
              <w:rPr>
                <w:rFonts w:eastAsia="Times New Roman" w:cstheme="minorHAnsi"/>
                <w:color w:val="000000"/>
                <w:lang w:eastAsia="lv-LV"/>
              </w:rPr>
            </w:pPr>
            <w:r>
              <w:rPr>
                <w:rFonts w:eastAsia="Times New Roman" w:cstheme="minorHAnsi"/>
                <w:color w:val="000000"/>
                <w:lang w:eastAsia="lv-LV"/>
              </w:rPr>
              <w:t>-</w:t>
            </w:r>
            <w:r w:rsidR="00706E2B">
              <w:rPr>
                <w:rFonts w:eastAsia="Times New Roman" w:cstheme="minorHAnsi"/>
                <w:color w:val="000000"/>
                <w:lang w:eastAsia="lv-LV"/>
              </w:rPr>
              <w:t>3</w:t>
            </w:r>
            <w:r w:rsidR="00D90CE7">
              <w:rPr>
                <w:rFonts w:eastAsia="Times New Roman" w:cstheme="minorHAnsi"/>
                <w:color w:val="000000"/>
                <w:lang w:eastAsia="lv-LV"/>
              </w:rPr>
              <w:t>7</w:t>
            </w:r>
          </w:p>
        </w:tc>
      </w:tr>
    </w:tbl>
    <w:p w14:paraId="03226144" w14:textId="610BDBE9" w:rsidR="006A3177" w:rsidRDefault="001739AA" w:rsidP="00712DD6">
      <w:pPr>
        <w:spacing w:before="100" w:beforeAutospacing="1" w:after="100" w:afterAutospacing="1"/>
        <w:jc w:val="both"/>
        <w:rPr>
          <w:rFonts w:cstheme="minorHAnsi"/>
        </w:rPr>
      </w:pPr>
      <w:r w:rsidRPr="003D07A2">
        <w:rPr>
          <w:rFonts w:cstheme="minorHAnsi"/>
        </w:rPr>
        <w:t xml:space="preserve">Pārskata </w:t>
      </w:r>
      <w:r w:rsidR="009B4ECD">
        <w:rPr>
          <w:rFonts w:cstheme="minorHAnsi"/>
        </w:rPr>
        <w:t>periodā</w:t>
      </w:r>
      <w:r w:rsidRPr="003D07A2">
        <w:rPr>
          <w:rFonts w:cstheme="minorHAnsi"/>
        </w:rPr>
        <w:t xml:space="preserve"> slimnīcā, salīdzinot ar 20</w:t>
      </w:r>
      <w:r w:rsidR="009B4ECD">
        <w:rPr>
          <w:rFonts w:cstheme="minorHAnsi"/>
        </w:rPr>
        <w:t>2</w:t>
      </w:r>
      <w:r w:rsidR="003A65D7">
        <w:rPr>
          <w:rFonts w:cstheme="minorHAnsi"/>
        </w:rPr>
        <w:t>5</w:t>
      </w:r>
      <w:r w:rsidRPr="003D07A2">
        <w:rPr>
          <w:rFonts w:cstheme="minorHAnsi"/>
        </w:rPr>
        <w:t xml:space="preserve">.gadu, ārstēto pacientu skaits </w:t>
      </w:r>
      <w:r w:rsidR="009B4ECD">
        <w:rPr>
          <w:rFonts w:cstheme="minorHAnsi"/>
        </w:rPr>
        <w:t>psihiatrijā</w:t>
      </w:r>
      <w:r w:rsidR="002206E6">
        <w:rPr>
          <w:rFonts w:cstheme="minorHAnsi"/>
        </w:rPr>
        <w:t xml:space="preserve"> (pieaugušie)</w:t>
      </w:r>
      <w:r w:rsidR="009B4ECD">
        <w:rPr>
          <w:rFonts w:cstheme="minorHAnsi"/>
        </w:rPr>
        <w:t xml:space="preserve"> </w:t>
      </w:r>
      <w:r w:rsidR="002206E6">
        <w:rPr>
          <w:rFonts w:cstheme="minorHAnsi"/>
        </w:rPr>
        <w:t xml:space="preserve">ir nedaudz </w:t>
      </w:r>
      <w:r w:rsidR="003A65D7">
        <w:rPr>
          <w:rFonts w:cstheme="minorHAnsi"/>
        </w:rPr>
        <w:t>samazinājies</w:t>
      </w:r>
      <w:r w:rsidR="00D564FC">
        <w:rPr>
          <w:rFonts w:cstheme="minorHAnsi"/>
        </w:rPr>
        <w:t xml:space="preserve"> (4%)</w:t>
      </w:r>
      <w:r w:rsidR="003360BD">
        <w:rPr>
          <w:rFonts w:cstheme="minorHAnsi"/>
        </w:rPr>
        <w:t>, bet palielinājies ārstēto bērnu skaits psihiatrijā.</w:t>
      </w:r>
    </w:p>
    <w:p w14:paraId="3E18E962" w14:textId="72549FAD" w:rsidR="00B63640" w:rsidRDefault="009B4ECD" w:rsidP="00B63640">
      <w:pPr>
        <w:spacing w:after="0"/>
        <w:jc w:val="both"/>
        <w:rPr>
          <w:rFonts w:cstheme="minorHAnsi"/>
        </w:rPr>
      </w:pPr>
      <w:r>
        <w:rPr>
          <w:rFonts w:cstheme="minorHAnsi"/>
        </w:rPr>
        <w:t xml:space="preserve">Pārskata periodā beigās nav </w:t>
      </w:r>
      <w:r w:rsidR="006A3177">
        <w:rPr>
          <w:rFonts w:cstheme="minorHAnsi"/>
        </w:rPr>
        <w:t>apmaksāt</w:t>
      </w:r>
      <w:r w:rsidR="003E11A4">
        <w:rPr>
          <w:rFonts w:cstheme="minorHAnsi"/>
        </w:rPr>
        <w:t>s</w:t>
      </w:r>
      <w:r w:rsidR="004E1F42">
        <w:rPr>
          <w:rFonts w:cstheme="minorHAnsi"/>
        </w:rPr>
        <w:t xml:space="preserve"> </w:t>
      </w:r>
      <w:r w:rsidR="00D241CD">
        <w:rPr>
          <w:rFonts w:cstheme="minorHAnsi"/>
        </w:rPr>
        <w:t>152 423.24</w:t>
      </w:r>
      <w:r w:rsidR="00044C4D">
        <w:rPr>
          <w:rFonts w:cstheme="minorHAnsi"/>
        </w:rPr>
        <w:t xml:space="preserve"> euro (</w:t>
      </w:r>
      <w:r w:rsidR="00D241CD">
        <w:rPr>
          <w:rFonts w:cstheme="minorHAnsi"/>
        </w:rPr>
        <w:t xml:space="preserve">salīdzināmajā pārskata periodā : 2025.gadā 212 364.45 euro; </w:t>
      </w:r>
      <w:r w:rsidR="002206E6">
        <w:rPr>
          <w:rFonts w:cstheme="minorHAnsi"/>
        </w:rPr>
        <w:t>2024.gad</w:t>
      </w:r>
      <w:r w:rsidR="00D241CD">
        <w:rPr>
          <w:rFonts w:cstheme="minorHAnsi"/>
        </w:rPr>
        <w:t>ā</w:t>
      </w:r>
      <w:r w:rsidR="002206E6">
        <w:rPr>
          <w:rFonts w:cstheme="minorHAnsi"/>
        </w:rPr>
        <w:t xml:space="preserve"> 209 068.7 euro; </w:t>
      </w:r>
      <w:r w:rsidR="00044C4D">
        <w:rPr>
          <w:rFonts w:cstheme="minorHAnsi"/>
        </w:rPr>
        <w:t>202</w:t>
      </w:r>
      <w:r w:rsidR="00F63722">
        <w:rPr>
          <w:rFonts w:cstheme="minorHAnsi"/>
        </w:rPr>
        <w:t>3</w:t>
      </w:r>
      <w:r w:rsidR="00044C4D">
        <w:rPr>
          <w:rFonts w:cstheme="minorHAnsi"/>
        </w:rPr>
        <w:t>.gad</w:t>
      </w:r>
      <w:r w:rsidR="00D241CD">
        <w:rPr>
          <w:rFonts w:cstheme="minorHAnsi"/>
        </w:rPr>
        <w:t>ā</w:t>
      </w:r>
      <w:r w:rsidR="00A40CFC">
        <w:rPr>
          <w:rFonts w:cstheme="minorHAnsi"/>
        </w:rPr>
        <w:t xml:space="preserve"> </w:t>
      </w:r>
      <w:r w:rsidR="004E1F42">
        <w:rPr>
          <w:rFonts w:cstheme="minorHAnsi"/>
        </w:rPr>
        <w:t>207 745.62 euro</w:t>
      </w:r>
      <w:r w:rsidR="00A40CFC">
        <w:rPr>
          <w:rFonts w:cstheme="minorHAnsi"/>
        </w:rPr>
        <w:t xml:space="preserve">) </w:t>
      </w:r>
      <w:r w:rsidR="004E1F42">
        <w:rPr>
          <w:rFonts w:cstheme="minorHAnsi"/>
        </w:rPr>
        <w:t xml:space="preserve">par veselības aprūpes pakalpojumu sniegšanu un </w:t>
      </w:r>
      <w:r w:rsidR="00C017F0">
        <w:rPr>
          <w:rFonts w:cstheme="minorHAnsi"/>
        </w:rPr>
        <w:t>9 480</w:t>
      </w:r>
      <w:r w:rsidR="00A40CFC">
        <w:rPr>
          <w:rFonts w:cstheme="minorHAnsi"/>
        </w:rPr>
        <w:t xml:space="preserve"> euro (</w:t>
      </w:r>
      <w:r w:rsidR="00D241CD">
        <w:rPr>
          <w:rFonts w:cstheme="minorHAnsi"/>
        </w:rPr>
        <w:t xml:space="preserve">2025.gadā 16.164 euro; </w:t>
      </w:r>
      <w:r w:rsidR="002206E6">
        <w:rPr>
          <w:rFonts w:cstheme="minorHAnsi"/>
        </w:rPr>
        <w:t xml:space="preserve">2024.gadā 13 679 euro; </w:t>
      </w:r>
      <w:r w:rsidR="00A40CFC">
        <w:rPr>
          <w:rFonts w:cstheme="minorHAnsi"/>
        </w:rPr>
        <w:t xml:space="preserve">2023.gadā </w:t>
      </w:r>
      <w:r w:rsidR="004E1F42">
        <w:rPr>
          <w:rFonts w:cstheme="minorHAnsi"/>
        </w:rPr>
        <w:t>15 583 eur</w:t>
      </w:r>
      <w:r w:rsidR="00291B57">
        <w:rPr>
          <w:rFonts w:cstheme="minorHAnsi"/>
        </w:rPr>
        <w:t>o</w:t>
      </w:r>
      <w:r w:rsidR="00A40CFC">
        <w:rPr>
          <w:rFonts w:cstheme="minorHAnsi"/>
        </w:rPr>
        <w:t>)</w:t>
      </w:r>
      <w:r w:rsidR="00291B57">
        <w:rPr>
          <w:rFonts w:cstheme="minorHAnsi"/>
        </w:rPr>
        <w:t xml:space="preserve"> pacientu iemaksa kompensācija par atbrīvotajām pacientu kategorijām</w:t>
      </w:r>
      <w:r w:rsidR="00B63640">
        <w:rPr>
          <w:rFonts w:cstheme="minorHAnsi"/>
        </w:rPr>
        <w:t>:</w:t>
      </w:r>
    </w:p>
    <w:p w14:paraId="06E03889" w14:textId="6E23BD92" w:rsidR="00B63640" w:rsidRPr="00B63640" w:rsidRDefault="00D241CD" w:rsidP="00B63640">
      <w:pPr>
        <w:pStyle w:val="Sarakstarindkopa"/>
        <w:numPr>
          <w:ilvl w:val="0"/>
          <w:numId w:val="8"/>
        </w:numPr>
        <w:spacing w:after="0"/>
        <w:jc w:val="both"/>
        <w:rPr>
          <w:rFonts w:cstheme="minorHAnsi"/>
        </w:rPr>
      </w:pPr>
      <w:r>
        <w:rPr>
          <w:rFonts w:cstheme="minorHAnsi"/>
        </w:rPr>
        <w:t>23</w:t>
      </w:r>
      <w:r w:rsidR="003E11A4" w:rsidRPr="00B63640">
        <w:rPr>
          <w:rFonts w:cstheme="minorHAnsi"/>
        </w:rPr>
        <w:t xml:space="preserve"> pacientu ārstēšana programmā “P</w:t>
      </w:r>
      <w:r w:rsidR="00970816" w:rsidRPr="00B63640">
        <w:rPr>
          <w:rFonts w:cstheme="minorHAnsi"/>
        </w:rPr>
        <w:t>sihiatriskā palīdzība, tai skaitā pēc tiesas lēmuma</w:t>
      </w:r>
      <w:r w:rsidR="003E11A4" w:rsidRPr="00B63640">
        <w:rPr>
          <w:rFonts w:cstheme="minorHAnsi"/>
        </w:rPr>
        <w:t xml:space="preserve"> pieaugušajiem”</w:t>
      </w:r>
      <w:r w:rsidR="00970816" w:rsidRPr="00B63640">
        <w:rPr>
          <w:rFonts w:cstheme="minorHAnsi"/>
        </w:rPr>
        <w:t xml:space="preserve"> </w:t>
      </w:r>
      <w:r w:rsidR="00F27F02" w:rsidRPr="00B63640">
        <w:rPr>
          <w:rFonts w:cstheme="minorHAnsi"/>
        </w:rPr>
        <w:t xml:space="preserve">( pakalpojuma summa </w:t>
      </w:r>
      <w:r>
        <w:rPr>
          <w:rFonts w:cstheme="minorHAnsi"/>
        </w:rPr>
        <w:t>72 812.25</w:t>
      </w:r>
      <w:r w:rsidR="00F27F02" w:rsidRPr="00B63640">
        <w:rPr>
          <w:rFonts w:cstheme="minorHAnsi"/>
        </w:rPr>
        <w:t xml:space="preserve"> euro + </w:t>
      </w:r>
      <w:r w:rsidR="00597772">
        <w:rPr>
          <w:rFonts w:cstheme="minorHAnsi"/>
        </w:rPr>
        <w:t>6270</w:t>
      </w:r>
      <w:r w:rsidR="00F27F02" w:rsidRPr="00B63640">
        <w:rPr>
          <w:rFonts w:cstheme="minorHAnsi"/>
        </w:rPr>
        <w:t xml:space="preserve"> euro P</w:t>
      </w:r>
      <w:r w:rsidR="00680124" w:rsidRPr="00B63640">
        <w:rPr>
          <w:rFonts w:cstheme="minorHAnsi"/>
        </w:rPr>
        <w:t xml:space="preserve">IK); </w:t>
      </w:r>
    </w:p>
    <w:p w14:paraId="0C929081" w14:textId="4CC721AD" w:rsidR="001739AA" w:rsidRDefault="00251689" w:rsidP="00B63640">
      <w:pPr>
        <w:pStyle w:val="Sarakstarindkopa"/>
        <w:numPr>
          <w:ilvl w:val="0"/>
          <w:numId w:val="8"/>
        </w:numPr>
        <w:spacing w:after="0"/>
        <w:jc w:val="both"/>
        <w:rPr>
          <w:rFonts w:cstheme="minorHAnsi"/>
        </w:rPr>
      </w:pPr>
      <w:r>
        <w:rPr>
          <w:rFonts w:cstheme="minorHAnsi"/>
        </w:rPr>
        <w:t>6</w:t>
      </w:r>
      <w:r w:rsidR="002C30C7" w:rsidRPr="00B63640">
        <w:rPr>
          <w:rFonts w:cstheme="minorHAnsi"/>
        </w:rPr>
        <w:t xml:space="preserve"> pacientu ārstēšana programmā “Narkomānu rehabilitācija stacionārā pieaugušajiem”(</w:t>
      </w:r>
      <w:r>
        <w:rPr>
          <w:rFonts w:cstheme="minorHAnsi"/>
        </w:rPr>
        <w:t>62 512.86</w:t>
      </w:r>
      <w:r w:rsidR="006F3DEC">
        <w:rPr>
          <w:rFonts w:cstheme="minorHAnsi"/>
        </w:rPr>
        <w:t>2</w:t>
      </w:r>
      <w:r w:rsidR="00B63640" w:rsidRPr="00B63640">
        <w:rPr>
          <w:rFonts w:cstheme="minorHAnsi"/>
        </w:rPr>
        <w:t xml:space="preserve"> euro +</w:t>
      </w:r>
      <w:r w:rsidR="003F4EF7">
        <w:rPr>
          <w:rFonts w:cstheme="minorHAnsi"/>
        </w:rPr>
        <w:t>1870</w:t>
      </w:r>
      <w:r w:rsidR="00B63640" w:rsidRPr="00B63640">
        <w:rPr>
          <w:rFonts w:cstheme="minorHAnsi"/>
        </w:rPr>
        <w:t xml:space="preserve"> euro); </w:t>
      </w:r>
    </w:p>
    <w:p w14:paraId="0F684ABA" w14:textId="39E2F6A5" w:rsidR="00767069" w:rsidRPr="00B63640" w:rsidRDefault="00D241CD" w:rsidP="00B63640">
      <w:pPr>
        <w:pStyle w:val="Sarakstarindkopa"/>
        <w:numPr>
          <w:ilvl w:val="0"/>
          <w:numId w:val="8"/>
        </w:numPr>
        <w:spacing w:after="0"/>
        <w:jc w:val="both"/>
        <w:rPr>
          <w:rFonts w:cstheme="minorHAnsi"/>
        </w:rPr>
      </w:pPr>
      <w:r>
        <w:rPr>
          <w:rFonts w:cstheme="minorHAnsi"/>
        </w:rPr>
        <w:t>7</w:t>
      </w:r>
      <w:r w:rsidR="00767069">
        <w:rPr>
          <w:rFonts w:cstheme="minorHAnsi"/>
        </w:rPr>
        <w:t xml:space="preserve"> pacient</w:t>
      </w:r>
      <w:r>
        <w:rPr>
          <w:rFonts w:cstheme="minorHAnsi"/>
        </w:rPr>
        <w:t>u</w:t>
      </w:r>
      <w:r w:rsidR="00767069">
        <w:rPr>
          <w:rFonts w:cstheme="minorHAnsi"/>
        </w:rPr>
        <w:t xml:space="preserve"> ārstēšana </w:t>
      </w:r>
      <w:r>
        <w:rPr>
          <w:rFonts w:cstheme="minorHAnsi"/>
        </w:rPr>
        <w:t>programmā “Psihiatriskā palīdzība bērniem”</w:t>
      </w:r>
      <w:r w:rsidR="00767069">
        <w:rPr>
          <w:rFonts w:cstheme="minorHAnsi"/>
        </w:rPr>
        <w:t xml:space="preserve"> (</w:t>
      </w:r>
      <w:r>
        <w:rPr>
          <w:rFonts w:cstheme="minorHAnsi"/>
        </w:rPr>
        <w:t>17 098.13</w:t>
      </w:r>
      <w:r w:rsidR="00767069">
        <w:rPr>
          <w:rFonts w:cstheme="minorHAnsi"/>
        </w:rPr>
        <w:t xml:space="preserve"> euro +</w:t>
      </w:r>
      <w:r w:rsidR="002406C7">
        <w:rPr>
          <w:rFonts w:cstheme="minorHAnsi"/>
        </w:rPr>
        <w:t xml:space="preserve">1340 </w:t>
      </w:r>
      <w:r w:rsidR="00767069">
        <w:rPr>
          <w:rFonts w:cstheme="minorHAnsi"/>
        </w:rPr>
        <w:t>euro)</w:t>
      </w:r>
    </w:p>
    <w:p w14:paraId="3A5872E4" w14:textId="10AF1692" w:rsidR="0010757F" w:rsidRPr="003D07A2" w:rsidRDefault="009430DE" w:rsidP="00712DD6">
      <w:pPr>
        <w:spacing w:before="100" w:beforeAutospacing="1" w:after="100" w:afterAutospacing="1"/>
        <w:jc w:val="both"/>
        <w:rPr>
          <w:rFonts w:cstheme="minorHAnsi"/>
        </w:rPr>
      </w:pPr>
      <w:r w:rsidRPr="003D07A2">
        <w:rPr>
          <w:rFonts w:cstheme="minorHAnsi"/>
        </w:rPr>
        <w:lastRenderedPageBreak/>
        <w:t>Pārskata periodā Slimnīcai par sekundāro ambulatoro veselības aprūpes pakalpojumu sniegšanu līgumā ar Nacionālo veselības dienestu noteikta tāmes finansējums par psihiatrijas (</w:t>
      </w:r>
      <w:r w:rsidR="00896C8F">
        <w:rPr>
          <w:rFonts w:cstheme="minorHAnsi"/>
        </w:rPr>
        <w:t>2.5</w:t>
      </w:r>
      <w:r w:rsidRPr="003D07A2">
        <w:rPr>
          <w:rFonts w:cstheme="minorHAnsi"/>
        </w:rPr>
        <w:t xml:space="preserve"> slodzes psihiatrs, 0.</w:t>
      </w:r>
      <w:r w:rsidR="007F4AB8">
        <w:rPr>
          <w:rFonts w:cstheme="minorHAnsi"/>
        </w:rPr>
        <w:t>75</w:t>
      </w:r>
      <w:r w:rsidRPr="003D07A2">
        <w:rPr>
          <w:rFonts w:cstheme="minorHAnsi"/>
        </w:rPr>
        <w:t xml:space="preserve"> slodzes bērnu psihiatrs), psihologa/ psihoterapeita (</w:t>
      </w:r>
      <w:r w:rsidR="003328C9" w:rsidRPr="003D07A2">
        <w:rPr>
          <w:rFonts w:cstheme="minorHAnsi"/>
        </w:rPr>
        <w:t>0.</w:t>
      </w:r>
      <w:r w:rsidR="00AE4828">
        <w:rPr>
          <w:rFonts w:cstheme="minorHAnsi"/>
        </w:rPr>
        <w:t>2</w:t>
      </w:r>
      <w:r w:rsidR="003328C9" w:rsidRPr="003D07A2">
        <w:rPr>
          <w:rFonts w:cstheme="minorHAnsi"/>
        </w:rPr>
        <w:t>5</w:t>
      </w:r>
      <w:r w:rsidRPr="003D07A2">
        <w:rPr>
          <w:rFonts w:cstheme="minorHAnsi"/>
        </w:rPr>
        <w:t xml:space="preserve"> slodze), psihiatrijas māsas</w:t>
      </w:r>
      <w:r w:rsidR="00E447B7">
        <w:rPr>
          <w:rFonts w:cstheme="minorHAnsi"/>
        </w:rPr>
        <w:t xml:space="preserve"> </w:t>
      </w:r>
      <w:r w:rsidRPr="003D07A2">
        <w:rPr>
          <w:rFonts w:cstheme="minorHAnsi"/>
        </w:rPr>
        <w:t>(4 slodzes) un funkcionālo speciālistu</w:t>
      </w:r>
      <w:r w:rsidR="00C06C05" w:rsidRPr="003D07A2">
        <w:rPr>
          <w:rFonts w:cstheme="minorHAnsi"/>
        </w:rPr>
        <w:t xml:space="preserve"> </w:t>
      </w:r>
      <w:r w:rsidRPr="003D07A2">
        <w:rPr>
          <w:rFonts w:cstheme="minorHAnsi"/>
        </w:rPr>
        <w:t>(1</w:t>
      </w:r>
      <w:r w:rsidR="003328C9" w:rsidRPr="003D07A2">
        <w:rPr>
          <w:rFonts w:cstheme="minorHAnsi"/>
        </w:rPr>
        <w:t xml:space="preserve"> </w:t>
      </w:r>
      <w:r w:rsidRPr="003D07A2">
        <w:rPr>
          <w:rFonts w:cstheme="minorHAnsi"/>
        </w:rPr>
        <w:t>slodze) kabinetiem. Metadona aizvietojošās terapijas kabinetam apmaksātas 1.75 māsas</w:t>
      </w:r>
      <w:r w:rsidR="00C06C05" w:rsidRPr="003D07A2">
        <w:rPr>
          <w:rFonts w:cstheme="minorHAnsi"/>
        </w:rPr>
        <w:t xml:space="preserve"> </w:t>
      </w:r>
      <w:r w:rsidRPr="003D07A2">
        <w:rPr>
          <w:rFonts w:cstheme="minorHAnsi"/>
        </w:rPr>
        <w:t>slodzes un 1 psihologa slodze</w:t>
      </w:r>
      <w:r w:rsidR="00C271D5">
        <w:rPr>
          <w:rFonts w:cstheme="minorHAnsi"/>
        </w:rPr>
        <w:t>.</w:t>
      </w:r>
      <w:r w:rsidR="0055158B">
        <w:rPr>
          <w:rFonts w:cstheme="minorHAnsi"/>
        </w:rPr>
        <w:t xml:space="preserve"> </w:t>
      </w:r>
    </w:p>
    <w:p w14:paraId="3E14BA78" w14:textId="297E99F3" w:rsidR="00EB3D04" w:rsidRPr="003D07A2" w:rsidRDefault="006E705D" w:rsidP="00712DD6">
      <w:pPr>
        <w:spacing w:before="100" w:beforeAutospacing="1" w:after="100" w:afterAutospacing="1"/>
        <w:jc w:val="center"/>
        <w:rPr>
          <w:rFonts w:cstheme="minorHAnsi"/>
          <w:b/>
          <w:bCs/>
        </w:rPr>
      </w:pPr>
      <w:r>
        <w:rPr>
          <w:rFonts w:cstheme="minorHAnsi"/>
          <w:b/>
          <w:bCs/>
        </w:rPr>
        <w:t>S</w:t>
      </w:r>
      <w:r w:rsidR="009430DE" w:rsidRPr="003D07A2">
        <w:rPr>
          <w:rFonts w:cstheme="minorHAnsi"/>
          <w:b/>
          <w:bCs/>
        </w:rPr>
        <w:t>AVA kvotēto pakalpojumu apjoms</w:t>
      </w:r>
    </w:p>
    <w:tbl>
      <w:tblPr>
        <w:tblStyle w:val="Reatabula"/>
        <w:tblW w:w="9493" w:type="dxa"/>
        <w:jc w:val="center"/>
        <w:tblLook w:val="04A0" w:firstRow="1" w:lastRow="0" w:firstColumn="1" w:lastColumn="0" w:noHBand="0" w:noVBand="1"/>
      </w:tblPr>
      <w:tblGrid>
        <w:gridCol w:w="2187"/>
        <w:gridCol w:w="1991"/>
        <w:gridCol w:w="2116"/>
        <w:gridCol w:w="2485"/>
        <w:gridCol w:w="1073"/>
      </w:tblGrid>
      <w:tr w:rsidR="00271864" w:rsidRPr="00271864" w14:paraId="402F0C56" w14:textId="66A3EC14" w:rsidTr="00D96B3A">
        <w:trPr>
          <w:trHeight w:val="1296"/>
          <w:jc w:val="center"/>
        </w:trPr>
        <w:tc>
          <w:tcPr>
            <w:tcW w:w="2197" w:type="dxa"/>
            <w:vAlign w:val="center"/>
          </w:tcPr>
          <w:p w14:paraId="3C427093" w14:textId="77777777" w:rsidR="00271864" w:rsidRPr="00271864" w:rsidRDefault="00271864" w:rsidP="00271864">
            <w:pPr>
              <w:jc w:val="center"/>
              <w:rPr>
                <w:rFonts w:cstheme="minorHAnsi"/>
                <w:sz w:val="20"/>
                <w:szCs w:val="20"/>
              </w:rPr>
            </w:pPr>
            <w:r w:rsidRPr="00271864">
              <w:rPr>
                <w:rFonts w:cstheme="minorHAnsi"/>
                <w:sz w:val="20"/>
                <w:szCs w:val="20"/>
              </w:rPr>
              <w:t>Pakalpojuma veids</w:t>
            </w:r>
          </w:p>
        </w:tc>
        <w:tc>
          <w:tcPr>
            <w:tcW w:w="1991" w:type="dxa"/>
            <w:vAlign w:val="center"/>
          </w:tcPr>
          <w:p w14:paraId="5BE58F38" w14:textId="252CA27F" w:rsidR="00271864" w:rsidRPr="00271864" w:rsidRDefault="00271864" w:rsidP="00271864">
            <w:pPr>
              <w:jc w:val="center"/>
              <w:rPr>
                <w:rFonts w:eastAsia="Times New Roman" w:cstheme="minorHAnsi"/>
                <w:color w:val="000000"/>
                <w:sz w:val="20"/>
                <w:szCs w:val="20"/>
                <w:lang w:eastAsia="lv-LV"/>
              </w:rPr>
            </w:pPr>
            <w:r w:rsidRPr="00271864">
              <w:rPr>
                <w:rFonts w:eastAsia="Times New Roman" w:cstheme="minorHAnsi"/>
                <w:color w:val="000000"/>
                <w:sz w:val="20"/>
                <w:szCs w:val="20"/>
                <w:lang w:eastAsia="lv-LV"/>
              </w:rPr>
              <w:t>Faktiski ārstēto/apmeklējumu pacientu skaits 202</w:t>
            </w:r>
            <w:r w:rsidR="0069021B">
              <w:rPr>
                <w:rFonts w:eastAsia="Times New Roman" w:cstheme="minorHAnsi"/>
                <w:color w:val="000000"/>
                <w:sz w:val="20"/>
                <w:szCs w:val="20"/>
                <w:lang w:eastAsia="lv-LV"/>
              </w:rPr>
              <w:t>5</w:t>
            </w:r>
            <w:r w:rsidRPr="00271864">
              <w:rPr>
                <w:rFonts w:eastAsia="Times New Roman" w:cstheme="minorHAnsi"/>
                <w:color w:val="000000"/>
                <w:sz w:val="20"/>
                <w:szCs w:val="20"/>
                <w:lang w:eastAsia="lv-LV"/>
              </w:rPr>
              <w:t>.gadā</w:t>
            </w:r>
          </w:p>
        </w:tc>
        <w:tc>
          <w:tcPr>
            <w:tcW w:w="2116" w:type="dxa"/>
            <w:vAlign w:val="center"/>
          </w:tcPr>
          <w:p w14:paraId="5EC1B1AC" w14:textId="77777777" w:rsidR="00271864" w:rsidRDefault="00271864" w:rsidP="00271864">
            <w:pPr>
              <w:jc w:val="center"/>
              <w:rPr>
                <w:rFonts w:eastAsia="Times New Roman" w:cstheme="minorHAnsi"/>
                <w:color w:val="000000"/>
                <w:sz w:val="20"/>
                <w:szCs w:val="20"/>
                <w:lang w:eastAsia="lv-LV"/>
              </w:rPr>
            </w:pPr>
            <w:r w:rsidRPr="00271864">
              <w:rPr>
                <w:rFonts w:eastAsia="Times New Roman" w:cstheme="minorHAnsi"/>
                <w:color w:val="000000"/>
                <w:sz w:val="20"/>
                <w:szCs w:val="20"/>
                <w:lang w:eastAsia="lv-LV"/>
              </w:rPr>
              <w:t>Plānotais pacientu/apmeklējumu skaits līgumā 202</w:t>
            </w:r>
            <w:r w:rsidR="0069021B">
              <w:rPr>
                <w:rFonts w:eastAsia="Times New Roman" w:cstheme="minorHAnsi"/>
                <w:color w:val="000000"/>
                <w:sz w:val="20"/>
                <w:szCs w:val="20"/>
                <w:lang w:eastAsia="lv-LV"/>
              </w:rPr>
              <w:t>6</w:t>
            </w:r>
            <w:r w:rsidRPr="00271864">
              <w:rPr>
                <w:rFonts w:eastAsia="Times New Roman" w:cstheme="minorHAnsi"/>
                <w:color w:val="000000"/>
                <w:sz w:val="20"/>
                <w:szCs w:val="20"/>
                <w:lang w:eastAsia="lv-LV"/>
              </w:rPr>
              <w:t>.gadā</w:t>
            </w:r>
          </w:p>
          <w:p w14:paraId="10B42CB1" w14:textId="25E4B8D7" w:rsidR="00C4600E" w:rsidRPr="00271864" w:rsidRDefault="00C4600E" w:rsidP="00271864">
            <w:pPr>
              <w:jc w:val="center"/>
              <w:rPr>
                <w:rFonts w:cstheme="minorHAnsi"/>
                <w:sz w:val="20"/>
                <w:szCs w:val="20"/>
              </w:rPr>
            </w:pPr>
            <w:r>
              <w:rPr>
                <w:rFonts w:eastAsia="Times New Roman" w:cstheme="minorHAnsi"/>
                <w:color w:val="000000"/>
                <w:sz w:val="20"/>
                <w:szCs w:val="20"/>
                <w:lang w:eastAsia="lv-LV"/>
              </w:rPr>
              <w:t>Pieaugušie/ bērni</w:t>
            </w:r>
          </w:p>
        </w:tc>
        <w:tc>
          <w:tcPr>
            <w:tcW w:w="2116" w:type="dxa"/>
            <w:vAlign w:val="center"/>
          </w:tcPr>
          <w:p w14:paraId="133EB3A0" w14:textId="77777777" w:rsidR="00271864" w:rsidRDefault="00271864" w:rsidP="00271864">
            <w:pPr>
              <w:jc w:val="center"/>
              <w:rPr>
                <w:rFonts w:eastAsia="Times New Roman" w:cstheme="minorHAnsi"/>
                <w:color w:val="000000"/>
                <w:sz w:val="20"/>
                <w:szCs w:val="20"/>
                <w:lang w:eastAsia="lv-LV"/>
              </w:rPr>
            </w:pPr>
            <w:r w:rsidRPr="00271864">
              <w:rPr>
                <w:rFonts w:eastAsia="Times New Roman" w:cstheme="minorHAnsi"/>
                <w:color w:val="000000"/>
                <w:sz w:val="20"/>
                <w:szCs w:val="20"/>
                <w:lang w:eastAsia="lv-LV"/>
              </w:rPr>
              <w:t>Faktiski ārstēto pacientu/apmeklējumu skaits 202</w:t>
            </w:r>
            <w:r w:rsidR="0069021B">
              <w:rPr>
                <w:rFonts w:eastAsia="Times New Roman" w:cstheme="minorHAnsi"/>
                <w:color w:val="000000"/>
                <w:sz w:val="20"/>
                <w:szCs w:val="20"/>
                <w:lang w:eastAsia="lv-LV"/>
              </w:rPr>
              <w:t>6</w:t>
            </w:r>
            <w:r w:rsidRPr="00271864">
              <w:rPr>
                <w:rFonts w:eastAsia="Times New Roman" w:cstheme="minorHAnsi"/>
                <w:color w:val="000000"/>
                <w:sz w:val="20"/>
                <w:szCs w:val="20"/>
                <w:lang w:eastAsia="lv-LV"/>
              </w:rPr>
              <w:t>.gadā</w:t>
            </w:r>
          </w:p>
          <w:p w14:paraId="6B233181" w14:textId="694A4EF8" w:rsidR="005C465C" w:rsidRPr="00271864" w:rsidRDefault="005C465C" w:rsidP="00271864">
            <w:pPr>
              <w:jc w:val="center"/>
              <w:rPr>
                <w:rFonts w:cstheme="minorHAnsi"/>
                <w:sz w:val="20"/>
                <w:szCs w:val="20"/>
              </w:rPr>
            </w:pPr>
            <w:r>
              <w:rPr>
                <w:rFonts w:eastAsia="Times New Roman" w:cstheme="minorHAnsi"/>
                <w:color w:val="000000"/>
                <w:sz w:val="20"/>
                <w:szCs w:val="20"/>
                <w:lang w:eastAsia="lv-LV"/>
              </w:rPr>
              <w:t>Apmaksātie/+neapmaksātie NVD virskvotas</w:t>
            </w:r>
          </w:p>
        </w:tc>
        <w:tc>
          <w:tcPr>
            <w:tcW w:w="1073" w:type="dxa"/>
            <w:vAlign w:val="center"/>
          </w:tcPr>
          <w:p w14:paraId="39A49DA6" w14:textId="7A7C582B" w:rsidR="00271864" w:rsidRPr="00271864" w:rsidRDefault="00271864" w:rsidP="00271864">
            <w:pPr>
              <w:jc w:val="center"/>
              <w:rPr>
                <w:rFonts w:eastAsia="Times New Roman" w:cstheme="minorHAnsi"/>
                <w:color w:val="000000"/>
                <w:sz w:val="20"/>
                <w:szCs w:val="20"/>
                <w:lang w:eastAsia="lv-LV"/>
              </w:rPr>
            </w:pPr>
            <w:r w:rsidRPr="00271864">
              <w:rPr>
                <w:rFonts w:cstheme="minorHAnsi"/>
                <w:sz w:val="20"/>
                <w:szCs w:val="20"/>
              </w:rPr>
              <w:t>Novirze pret 202</w:t>
            </w:r>
            <w:r w:rsidR="000C3C92">
              <w:rPr>
                <w:rFonts w:cstheme="minorHAnsi"/>
                <w:sz w:val="20"/>
                <w:szCs w:val="20"/>
              </w:rPr>
              <w:t>5</w:t>
            </w:r>
            <w:r w:rsidRPr="00271864">
              <w:rPr>
                <w:rFonts w:cstheme="minorHAnsi"/>
                <w:sz w:val="20"/>
                <w:szCs w:val="20"/>
              </w:rPr>
              <w:t>.gadu</w:t>
            </w:r>
          </w:p>
        </w:tc>
      </w:tr>
      <w:tr w:rsidR="0069021B" w:rsidRPr="00271864" w14:paraId="615A0764" w14:textId="7B40AFBC" w:rsidTr="00D96B3A">
        <w:trPr>
          <w:trHeight w:val="420"/>
          <w:jc w:val="center"/>
        </w:trPr>
        <w:tc>
          <w:tcPr>
            <w:tcW w:w="2197" w:type="dxa"/>
          </w:tcPr>
          <w:p w14:paraId="67F91D6D" w14:textId="77777777" w:rsidR="0069021B" w:rsidRPr="00271864" w:rsidRDefault="0069021B" w:rsidP="0069021B">
            <w:pPr>
              <w:rPr>
                <w:rFonts w:cstheme="minorHAnsi"/>
                <w:sz w:val="20"/>
                <w:szCs w:val="20"/>
              </w:rPr>
            </w:pPr>
            <w:r w:rsidRPr="00271864">
              <w:rPr>
                <w:rFonts w:cstheme="minorHAnsi"/>
                <w:sz w:val="20"/>
                <w:szCs w:val="20"/>
              </w:rPr>
              <w:t>Neiroelektrofizioloģiskie funkcionālie izmeklējumi</w:t>
            </w:r>
          </w:p>
        </w:tc>
        <w:tc>
          <w:tcPr>
            <w:tcW w:w="1991" w:type="dxa"/>
            <w:vAlign w:val="center"/>
          </w:tcPr>
          <w:p w14:paraId="5AEAC4CC" w14:textId="5CE1B9CF" w:rsidR="0069021B" w:rsidRPr="00271864" w:rsidRDefault="0069021B" w:rsidP="0069021B">
            <w:pPr>
              <w:jc w:val="center"/>
              <w:rPr>
                <w:rFonts w:cstheme="minorHAnsi"/>
                <w:sz w:val="20"/>
                <w:szCs w:val="20"/>
              </w:rPr>
            </w:pPr>
            <w:r>
              <w:rPr>
                <w:rFonts w:cstheme="minorHAnsi"/>
                <w:sz w:val="20"/>
                <w:szCs w:val="20"/>
              </w:rPr>
              <w:t>195</w:t>
            </w:r>
          </w:p>
        </w:tc>
        <w:tc>
          <w:tcPr>
            <w:tcW w:w="2116" w:type="dxa"/>
            <w:vAlign w:val="center"/>
          </w:tcPr>
          <w:p w14:paraId="7B8CBD04" w14:textId="4A988B46" w:rsidR="0069021B" w:rsidRPr="00271864" w:rsidRDefault="000931AE" w:rsidP="0069021B">
            <w:pPr>
              <w:jc w:val="center"/>
              <w:rPr>
                <w:rFonts w:cstheme="minorHAnsi"/>
                <w:sz w:val="20"/>
                <w:szCs w:val="20"/>
              </w:rPr>
            </w:pPr>
            <w:r>
              <w:rPr>
                <w:rFonts w:cstheme="minorHAnsi"/>
                <w:sz w:val="20"/>
                <w:szCs w:val="20"/>
              </w:rPr>
              <w:t>136/12</w:t>
            </w:r>
          </w:p>
        </w:tc>
        <w:tc>
          <w:tcPr>
            <w:tcW w:w="2116" w:type="dxa"/>
            <w:vAlign w:val="center"/>
          </w:tcPr>
          <w:p w14:paraId="613C4CC5" w14:textId="179BEAAF" w:rsidR="0069021B" w:rsidRPr="00271864" w:rsidRDefault="009570AB" w:rsidP="0069021B">
            <w:pPr>
              <w:jc w:val="center"/>
              <w:rPr>
                <w:rFonts w:cstheme="minorHAnsi"/>
                <w:sz w:val="20"/>
                <w:szCs w:val="20"/>
              </w:rPr>
            </w:pPr>
            <w:r>
              <w:rPr>
                <w:rFonts w:cstheme="minorHAnsi"/>
                <w:sz w:val="20"/>
                <w:szCs w:val="20"/>
              </w:rPr>
              <w:t>161/</w:t>
            </w:r>
            <w:r w:rsidR="000C3C92">
              <w:rPr>
                <w:rFonts w:cstheme="minorHAnsi"/>
                <w:sz w:val="20"/>
                <w:szCs w:val="20"/>
              </w:rPr>
              <w:t>10</w:t>
            </w:r>
          </w:p>
        </w:tc>
        <w:tc>
          <w:tcPr>
            <w:tcW w:w="1073" w:type="dxa"/>
            <w:vAlign w:val="center"/>
          </w:tcPr>
          <w:p w14:paraId="7BA2B59B" w14:textId="4C8BA8A4" w:rsidR="0069021B" w:rsidRPr="00271864" w:rsidRDefault="000C3C92" w:rsidP="0069021B">
            <w:pPr>
              <w:jc w:val="center"/>
              <w:rPr>
                <w:rFonts w:cstheme="minorHAnsi"/>
                <w:sz w:val="20"/>
                <w:szCs w:val="20"/>
              </w:rPr>
            </w:pPr>
            <w:r>
              <w:rPr>
                <w:rFonts w:cstheme="minorHAnsi"/>
                <w:sz w:val="20"/>
                <w:szCs w:val="20"/>
              </w:rPr>
              <w:t>-24</w:t>
            </w:r>
          </w:p>
        </w:tc>
      </w:tr>
      <w:tr w:rsidR="0069021B" w:rsidRPr="00271864" w14:paraId="1AE3E552" w14:textId="2C1DF452" w:rsidTr="00D96B3A">
        <w:trPr>
          <w:trHeight w:val="647"/>
          <w:jc w:val="center"/>
        </w:trPr>
        <w:tc>
          <w:tcPr>
            <w:tcW w:w="2197" w:type="dxa"/>
          </w:tcPr>
          <w:p w14:paraId="55DA81C3" w14:textId="77777777" w:rsidR="0069021B" w:rsidRPr="00271864" w:rsidRDefault="0069021B" w:rsidP="0069021B">
            <w:pPr>
              <w:rPr>
                <w:rFonts w:cstheme="minorHAnsi"/>
                <w:sz w:val="20"/>
                <w:szCs w:val="20"/>
              </w:rPr>
            </w:pPr>
            <w:r w:rsidRPr="00271864">
              <w:rPr>
                <w:rFonts w:cstheme="minorHAnsi"/>
                <w:sz w:val="20"/>
                <w:szCs w:val="20"/>
              </w:rPr>
              <w:t>Psihiatrisko slimnieku ārstēšana psihiatriskā profila dienas stacionārā</w:t>
            </w:r>
          </w:p>
        </w:tc>
        <w:tc>
          <w:tcPr>
            <w:tcW w:w="1991" w:type="dxa"/>
            <w:vAlign w:val="center"/>
          </w:tcPr>
          <w:p w14:paraId="3AB0E809" w14:textId="17746EF8" w:rsidR="0069021B" w:rsidRPr="00271864" w:rsidRDefault="0069021B" w:rsidP="0069021B">
            <w:pPr>
              <w:jc w:val="center"/>
              <w:rPr>
                <w:rFonts w:cstheme="minorHAnsi"/>
                <w:sz w:val="20"/>
                <w:szCs w:val="20"/>
              </w:rPr>
            </w:pPr>
            <w:r>
              <w:rPr>
                <w:rFonts w:cstheme="minorHAnsi"/>
                <w:sz w:val="20"/>
                <w:szCs w:val="20"/>
              </w:rPr>
              <w:t>844</w:t>
            </w:r>
          </w:p>
        </w:tc>
        <w:tc>
          <w:tcPr>
            <w:tcW w:w="2116" w:type="dxa"/>
            <w:vAlign w:val="center"/>
          </w:tcPr>
          <w:p w14:paraId="2FC28513" w14:textId="50B1CF87" w:rsidR="0069021B" w:rsidRPr="00271864" w:rsidRDefault="0069021B" w:rsidP="0069021B">
            <w:pPr>
              <w:jc w:val="center"/>
              <w:rPr>
                <w:rFonts w:cstheme="minorHAnsi"/>
                <w:sz w:val="20"/>
                <w:szCs w:val="20"/>
              </w:rPr>
            </w:pPr>
            <w:r>
              <w:rPr>
                <w:rFonts w:cstheme="minorHAnsi"/>
                <w:sz w:val="20"/>
                <w:szCs w:val="20"/>
              </w:rPr>
              <w:t>692</w:t>
            </w:r>
          </w:p>
        </w:tc>
        <w:tc>
          <w:tcPr>
            <w:tcW w:w="2116" w:type="dxa"/>
            <w:vAlign w:val="center"/>
          </w:tcPr>
          <w:p w14:paraId="547801A4" w14:textId="4F60A30E" w:rsidR="0069021B" w:rsidRPr="00271864" w:rsidRDefault="004C1930" w:rsidP="0069021B">
            <w:pPr>
              <w:jc w:val="center"/>
              <w:rPr>
                <w:rFonts w:cstheme="minorHAnsi"/>
                <w:sz w:val="20"/>
                <w:szCs w:val="20"/>
              </w:rPr>
            </w:pPr>
            <w:r>
              <w:rPr>
                <w:rFonts w:cstheme="minorHAnsi"/>
                <w:sz w:val="20"/>
                <w:szCs w:val="20"/>
              </w:rPr>
              <w:t>977</w:t>
            </w:r>
          </w:p>
        </w:tc>
        <w:tc>
          <w:tcPr>
            <w:tcW w:w="1073" w:type="dxa"/>
            <w:vAlign w:val="center"/>
          </w:tcPr>
          <w:p w14:paraId="1432AEC1" w14:textId="31DD40B2" w:rsidR="0069021B" w:rsidRPr="00271864" w:rsidRDefault="0069021B" w:rsidP="0069021B">
            <w:pPr>
              <w:jc w:val="center"/>
              <w:rPr>
                <w:rFonts w:cstheme="minorHAnsi"/>
                <w:sz w:val="20"/>
                <w:szCs w:val="20"/>
              </w:rPr>
            </w:pPr>
            <w:r>
              <w:rPr>
                <w:rFonts w:cstheme="minorHAnsi"/>
                <w:sz w:val="20"/>
                <w:szCs w:val="20"/>
              </w:rPr>
              <w:t>+</w:t>
            </w:r>
            <w:r w:rsidR="004C1930">
              <w:rPr>
                <w:rFonts w:cstheme="minorHAnsi"/>
                <w:sz w:val="20"/>
                <w:szCs w:val="20"/>
              </w:rPr>
              <w:t>133</w:t>
            </w:r>
          </w:p>
        </w:tc>
      </w:tr>
      <w:tr w:rsidR="0069021B" w:rsidRPr="00271864" w14:paraId="5206C17A" w14:textId="7766E818" w:rsidTr="00D96B3A">
        <w:trPr>
          <w:trHeight w:val="363"/>
          <w:jc w:val="center"/>
        </w:trPr>
        <w:tc>
          <w:tcPr>
            <w:tcW w:w="2197" w:type="dxa"/>
          </w:tcPr>
          <w:p w14:paraId="33E12E1E" w14:textId="77777777" w:rsidR="0069021B" w:rsidRPr="00271864" w:rsidRDefault="0069021B" w:rsidP="0069021B">
            <w:pPr>
              <w:rPr>
                <w:rFonts w:cstheme="minorHAnsi"/>
                <w:sz w:val="20"/>
                <w:szCs w:val="20"/>
              </w:rPr>
            </w:pPr>
            <w:r w:rsidRPr="00271864">
              <w:rPr>
                <w:rFonts w:cstheme="minorHAnsi"/>
                <w:sz w:val="20"/>
                <w:szCs w:val="20"/>
              </w:rPr>
              <w:t>Narkologa pakalpojumi</w:t>
            </w:r>
          </w:p>
        </w:tc>
        <w:tc>
          <w:tcPr>
            <w:tcW w:w="1991" w:type="dxa"/>
            <w:vAlign w:val="center"/>
          </w:tcPr>
          <w:p w14:paraId="60B2F8A2" w14:textId="58D8C9BB" w:rsidR="0069021B" w:rsidRPr="00271864" w:rsidRDefault="0069021B" w:rsidP="0069021B">
            <w:pPr>
              <w:jc w:val="center"/>
              <w:rPr>
                <w:rFonts w:cstheme="minorHAnsi"/>
                <w:sz w:val="20"/>
                <w:szCs w:val="20"/>
              </w:rPr>
            </w:pPr>
            <w:r>
              <w:rPr>
                <w:rFonts w:cstheme="minorHAnsi"/>
                <w:sz w:val="20"/>
                <w:szCs w:val="20"/>
              </w:rPr>
              <w:t>605</w:t>
            </w:r>
          </w:p>
        </w:tc>
        <w:tc>
          <w:tcPr>
            <w:tcW w:w="2116" w:type="dxa"/>
            <w:vAlign w:val="center"/>
          </w:tcPr>
          <w:p w14:paraId="4CF9407C" w14:textId="273BBF76" w:rsidR="0069021B" w:rsidRPr="00271864" w:rsidRDefault="00590B20" w:rsidP="0069021B">
            <w:pPr>
              <w:jc w:val="center"/>
              <w:rPr>
                <w:rFonts w:cstheme="minorHAnsi"/>
                <w:sz w:val="20"/>
                <w:szCs w:val="20"/>
              </w:rPr>
            </w:pPr>
            <w:r>
              <w:rPr>
                <w:rFonts w:cstheme="minorHAnsi"/>
                <w:sz w:val="20"/>
                <w:szCs w:val="20"/>
              </w:rPr>
              <w:t>770</w:t>
            </w:r>
          </w:p>
        </w:tc>
        <w:tc>
          <w:tcPr>
            <w:tcW w:w="2116" w:type="dxa"/>
            <w:vAlign w:val="center"/>
          </w:tcPr>
          <w:p w14:paraId="112BA287" w14:textId="00AB25C4" w:rsidR="0069021B" w:rsidRPr="00271864" w:rsidRDefault="004C1930" w:rsidP="0069021B">
            <w:pPr>
              <w:jc w:val="center"/>
              <w:rPr>
                <w:rFonts w:cstheme="minorHAnsi"/>
                <w:sz w:val="20"/>
                <w:szCs w:val="20"/>
              </w:rPr>
            </w:pPr>
            <w:r>
              <w:rPr>
                <w:rFonts w:cstheme="minorHAnsi"/>
                <w:sz w:val="20"/>
                <w:szCs w:val="20"/>
              </w:rPr>
              <w:t>822</w:t>
            </w:r>
          </w:p>
        </w:tc>
        <w:tc>
          <w:tcPr>
            <w:tcW w:w="1073" w:type="dxa"/>
            <w:vAlign w:val="center"/>
          </w:tcPr>
          <w:p w14:paraId="41E2D396" w14:textId="1805CB5A" w:rsidR="0069021B" w:rsidRPr="00271864" w:rsidRDefault="00144A8D" w:rsidP="0069021B">
            <w:pPr>
              <w:jc w:val="center"/>
              <w:rPr>
                <w:rFonts w:cstheme="minorHAnsi"/>
                <w:sz w:val="20"/>
                <w:szCs w:val="20"/>
              </w:rPr>
            </w:pPr>
            <w:r>
              <w:rPr>
                <w:rFonts w:cstheme="minorHAnsi"/>
                <w:sz w:val="20"/>
                <w:szCs w:val="20"/>
              </w:rPr>
              <w:t>+217</w:t>
            </w:r>
          </w:p>
        </w:tc>
      </w:tr>
      <w:tr w:rsidR="0069021B" w:rsidRPr="00271864" w14:paraId="42C472AB" w14:textId="35DBE681" w:rsidTr="00D96B3A">
        <w:trPr>
          <w:trHeight w:val="260"/>
          <w:jc w:val="center"/>
        </w:trPr>
        <w:tc>
          <w:tcPr>
            <w:tcW w:w="2197" w:type="dxa"/>
          </w:tcPr>
          <w:p w14:paraId="68393425" w14:textId="77777777" w:rsidR="0069021B" w:rsidRPr="00271864" w:rsidRDefault="0069021B" w:rsidP="0069021B">
            <w:pPr>
              <w:rPr>
                <w:rFonts w:cstheme="minorHAnsi"/>
                <w:sz w:val="20"/>
                <w:szCs w:val="20"/>
              </w:rPr>
            </w:pPr>
            <w:r w:rsidRPr="00271864">
              <w:rPr>
                <w:rFonts w:cstheme="minorHAnsi"/>
                <w:sz w:val="20"/>
                <w:szCs w:val="20"/>
              </w:rPr>
              <w:t>Psihiatra pakalpojumi</w:t>
            </w:r>
          </w:p>
        </w:tc>
        <w:tc>
          <w:tcPr>
            <w:tcW w:w="1991" w:type="dxa"/>
            <w:vAlign w:val="center"/>
          </w:tcPr>
          <w:p w14:paraId="75924C93" w14:textId="507EA8AD" w:rsidR="0069021B" w:rsidRPr="00271864" w:rsidRDefault="0069021B" w:rsidP="0069021B">
            <w:pPr>
              <w:jc w:val="center"/>
              <w:rPr>
                <w:rFonts w:cstheme="minorHAnsi"/>
                <w:sz w:val="20"/>
                <w:szCs w:val="20"/>
              </w:rPr>
            </w:pPr>
            <w:r>
              <w:rPr>
                <w:rFonts w:cstheme="minorHAnsi"/>
                <w:sz w:val="20"/>
                <w:szCs w:val="20"/>
              </w:rPr>
              <w:t>2468</w:t>
            </w:r>
          </w:p>
        </w:tc>
        <w:tc>
          <w:tcPr>
            <w:tcW w:w="2116" w:type="dxa"/>
            <w:vAlign w:val="center"/>
          </w:tcPr>
          <w:p w14:paraId="08909B24" w14:textId="243A78ED" w:rsidR="0069021B" w:rsidRPr="00271864" w:rsidRDefault="0069021B" w:rsidP="0069021B">
            <w:pPr>
              <w:jc w:val="center"/>
              <w:rPr>
                <w:rFonts w:cstheme="minorHAnsi"/>
                <w:sz w:val="20"/>
                <w:szCs w:val="20"/>
              </w:rPr>
            </w:pPr>
            <w:r>
              <w:rPr>
                <w:rFonts w:cstheme="minorHAnsi"/>
                <w:sz w:val="20"/>
                <w:szCs w:val="20"/>
              </w:rPr>
              <w:t>*tāmes finansējums</w:t>
            </w:r>
          </w:p>
        </w:tc>
        <w:tc>
          <w:tcPr>
            <w:tcW w:w="2116" w:type="dxa"/>
            <w:vAlign w:val="center"/>
          </w:tcPr>
          <w:p w14:paraId="2E9C71BF" w14:textId="06723B61" w:rsidR="0069021B" w:rsidRPr="00271864" w:rsidRDefault="00EA312F" w:rsidP="0069021B">
            <w:pPr>
              <w:jc w:val="center"/>
              <w:rPr>
                <w:rFonts w:cstheme="minorHAnsi"/>
                <w:sz w:val="20"/>
                <w:szCs w:val="20"/>
              </w:rPr>
            </w:pPr>
            <w:r>
              <w:rPr>
                <w:rFonts w:cstheme="minorHAnsi"/>
                <w:sz w:val="20"/>
                <w:szCs w:val="20"/>
              </w:rPr>
              <w:t>2677</w:t>
            </w:r>
          </w:p>
        </w:tc>
        <w:tc>
          <w:tcPr>
            <w:tcW w:w="1073" w:type="dxa"/>
            <w:vAlign w:val="center"/>
          </w:tcPr>
          <w:p w14:paraId="5026A181" w14:textId="39A23CC4" w:rsidR="0069021B" w:rsidRPr="00271864" w:rsidRDefault="00EA312F" w:rsidP="0069021B">
            <w:pPr>
              <w:jc w:val="center"/>
              <w:rPr>
                <w:rFonts w:cstheme="minorHAnsi"/>
                <w:sz w:val="20"/>
                <w:szCs w:val="20"/>
              </w:rPr>
            </w:pPr>
            <w:r>
              <w:rPr>
                <w:rFonts w:cstheme="minorHAnsi"/>
                <w:sz w:val="20"/>
                <w:szCs w:val="20"/>
              </w:rPr>
              <w:t>+209</w:t>
            </w:r>
          </w:p>
        </w:tc>
      </w:tr>
      <w:tr w:rsidR="0069021B" w:rsidRPr="00271864" w14:paraId="25089A1F" w14:textId="750EA601" w:rsidTr="00D96B3A">
        <w:trPr>
          <w:trHeight w:val="420"/>
          <w:jc w:val="center"/>
        </w:trPr>
        <w:tc>
          <w:tcPr>
            <w:tcW w:w="2197" w:type="dxa"/>
          </w:tcPr>
          <w:p w14:paraId="056FF280" w14:textId="77777777" w:rsidR="0069021B" w:rsidRPr="00271864" w:rsidRDefault="0069021B" w:rsidP="0069021B">
            <w:pPr>
              <w:rPr>
                <w:rFonts w:cstheme="minorHAnsi"/>
                <w:sz w:val="20"/>
                <w:szCs w:val="20"/>
              </w:rPr>
            </w:pPr>
            <w:r w:rsidRPr="00271864">
              <w:rPr>
                <w:rFonts w:cstheme="minorHAnsi"/>
                <w:sz w:val="20"/>
                <w:szCs w:val="20"/>
              </w:rPr>
              <w:t>Tiesu psihiatriskā un psiholoģiskā ekspertīze</w:t>
            </w:r>
          </w:p>
        </w:tc>
        <w:tc>
          <w:tcPr>
            <w:tcW w:w="1991" w:type="dxa"/>
            <w:vAlign w:val="center"/>
          </w:tcPr>
          <w:p w14:paraId="32B6CCF3" w14:textId="4A6B0175" w:rsidR="0069021B" w:rsidRPr="00271864" w:rsidRDefault="0069021B" w:rsidP="0069021B">
            <w:pPr>
              <w:jc w:val="center"/>
              <w:rPr>
                <w:rFonts w:cstheme="minorHAnsi"/>
                <w:sz w:val="20"/>
                <w:szCs w:val="20"/>
              </w:rPr>
            </w:pPr>
            <w:r>
              <w:rPr>
                <w:rFonts w:cstheme="minorHAnsi"/>
                <w:sz w:val="20"/>
                <w:szCs w:val="20"/>
              </w:rPr>
              <w:t>16</w:t>
            </w:r>
          </w:p>
        </w:tc>
        <w:tc>
          <w:tcPr>
            <w:tcW w:w="2116" w:type="dxa"/>
            <w:vAlign w:val="center"/>
          </w:tcPr>
          <w:p w14:paraId="29E165D0" w14:textId="0AACCBD8" w:rsidR="0069021B" w:rsidRPr="00271864" w:rsidRDefault="00590B20" w:rsidP="0069021B">
            <w:pPr>
              <w:jc w:val="center"/>
              <w:rPr>
                <w:rFonts w:cstheme="minorHAnsi"/>
                <w:sz w:val="20"/>
                <w:szCs w:val="20"/>
              </w:rPr>
            </w:pPr>
            <w:r>
              <w:rPr>
                <w:rFonts w:cstheme="minorHAnsi"/>
                <w:sz w:val="20"/>
                <w:szCs w:val="20"/>
              </w:rPr>
              <w:t>20</w:t>
            </w:r>
          </w:p>
        </w:tc>
        <w:tc>
          <w:tcPr>
            <w:tcW w:w="2116" w:type="dxa"/>
            <w:vAlign w:val="center"/>
          </w:tcPr>
          <w:p w14:paraId="470BA6BE" w14:textId="5C660ACC" w:rsidR="0069021B" w:rsidRPr="00271864" w:rsidRDefault="00EA312F" w:rsidP="0069021B">
            <w:pPr>
              <w:jc w:val="center"/>
              <w:rPr>
                <w:rFonts w:cstheme="minorHAnsi"/>
                <w:sz w:val="20"/>
                <w:szCs w:val="20"/>
              </w:rPr>
            </w:pPr>
            <w:r>
              <w:rPr>
                <w:rFonts w:cstheme="minorHAnsi"/>
                <w:sz w:val="20"/>
                <w:szCs w:val="20"/>
              </w:rPr>
              <w:t>1</w:t>
            </w:r>
            <w:r w:rsidR="002A2435">
              <w:rPr>
                <w:rFonts w:cstheme="minorHAnsi"/>
                <w:sz w:val="20"/>
                <w:szCs w:val="20"/>
              </w:rPr>
              <w:t>8</w:t>
            </w:r>
            <w:r>
              <w:rPr>
                <w:rFonts w:cstheme="minorHAnsi"/>
                <w:sz w:val="20"/>
                <w:szCs w:val="20"/>
              </w:rPr>
              <w:t>/3</w:t>
            </w:r>
          </w:p>
        </w:tc>
        <w:tc>
          <w:tcPr>
            <w:tcW w:w="1073" w:type="dxa"/>
            <w:vAlign w:val="center"/>
          </w:tcPr>
          <w:p w14:paraId="4E0373E4" w14:textId="351F6EAA" w:rsidR="0069021B" w:rsidRPr="00271864" w:rsidRDefault="002A2435" w:rsidP="0069021B">
            <w:pPr>
              <w:jc w:val="center"/>
              <w:rPr>
                <w:rFonts w:cstheme="minorHAnsi"/>
                <w:sz w:val="20"/>
                <w:szCs w:val="20"/>
              </w:rPr>
            </w:pPr>
            <w:r>
              <w:rPr>
                <w:rFonts w:cstheme="minorHAnsi"/>
                <w:sz w:val="20"/>
                <w:szCs w:val="20"/>
              </w:rPr>
              <w:t>+5</w:t>
            </w:r>
          </w:p>
        </w:tc>
      </w:tr>
      <w:tr w:rsidR="0069021B" w:rsidRPr="00271864" w14:paraId="7BBDA805" w14:textId="7581D1A9" w:rsidTr="00D96B3A">
        <w:trPr>
          <w:trHeight w:val="210"/>
          <w:jc w:val="center"/>
        </w:trPr>
        <w:tc>
          <w:tcPr>
            <w:tcW w:w="2197" w:type="dxa"/>
          </w:tcPr>
          <w:p w14:paraId="560D5B98" w14:textId="77777777" w:rsidR="0069021B" w:rsidRPr="00271864" w:rsidRDefault="0069021B" w:rsidP="0069021B">
            <w:pPr>
              <w:rPr>
                <w:rFonts w:cstheme="minorHAnsi"/>
                <w:sz w:val="20"/>
                <w:szCs w:val="20"/>
              </w:rPr>
            </w:pPr>
            <w:r w:rsidRPr="00271864">
              <w:rPr>
                <w:rFonts w:cstheme="minorHAnsi"/>
                <w:sz w:val="20"/>
                <w:szCs w:val="20"/>
              </w:rPr>
              <w:t>Metadona aizvietojoša terapija</w:t>
            </w:r>
          </w:p>
        </w:tc>
        <w:tc>
          <w:tcPr>
            <w:tcW w:w="1991" w:type="dxa"/>
            <w:vAlign w:val="center"/>
          </w:tcPr>
          <w:p w14:paraId="597FC93C" w14:textId="262830DB" w:rsidR="0069021B" w:rsidRPr="00271864" w:rsidRDefault="0069021B" w:rsidP="0069021B">
            <w:pPr>
              <w:jc w:val="center"/>
              <w:rPr>
                <w:rFonts w:cstheme="minorHAnsi"/>
                <w:sz w:val="20"/>
                <w:szCs w:val="20"/>
              </w:rPr>
            </w:pPr>
            <w:r>
              <w:rPr>
                <w:rFonts w:cstheme="minorHAnsi"/>
                <w:sz w:val="20"/>
                <w:szCs w:val="20"/>
              </w:rPr>
              <w:t>5207</w:t>
            </w:r>
          </w:p>
        </w:tc>
        <w:tc>
          <w:tcPr>
            <w:tcW w:w="2116" w:type="dxa"/>
            <w:vAlign w:val="center"/>
          </w:tcPr>
          <w:p w14:paraId="1657D5AC" w14:textId="2A6C933E" w:rsidR="0069021B" w:rsidRPr="00271864" w:rsidRDefault="0069021B" w:rsidP="0069021B">
            <w:pPr>
              <w:jc w:val="center"/>
              <w:rPr>
                <w:rFonts w:cstheme="minorHAnsi"/>
                <w:sz w:val="20"/>
                <w:szCs w:val="20"/>
              </w:rPr>
            </w:pPr>
            <w:r>
              <w:rPr>
                <w:rFonts w:cstheme="minorHAnsi"/>
                <w:sz w:val="20"/>
                <w:szCs w:val="20"/>
              </w:rPr>
              <w:t>4679</w:t>
            </w:r>
          </w:p>
        </w:tc>
        <w:tc>
          <w:tcPr>
            <w:tcW w:w="2116" w:type="dxa"/>
            <w:vAlign w:val="center"/>
          </w:tcPr>
          <w:p w14:paraId="42ACD6EA" w14:textId="213BF0D8" w:rsidR="0069021B" w:rsidRPr="00271864" w:rsidRDefault="005C465C" w:rsidP="0069021B">
            <w:pPr>
              <w:jc w:val="center"/>
              <w:rPr>
                <w:rFonts w:cstheme="minorHAnsi"/>
                <w:sz w:val="20"/>
                <w:szCs w:val="20"/>
              </w:rPr>
            </w:pPr>
            <w:r>
              <w:rPr>
                <w:rFonts w:cstheme="minorHAnsi"/>
                <w:sz w:val="20"/>
                <w:szCs w:val="20"/>
              </w:rPr>
              <w:t>4651</w:t>
            </w:r>
            <w:r w:rsidR="00BE035F">
              <w:rPr>
                <w:rFonts w:cstheme="minorHAnsi"/>
                <w:sz w:val="20"/>
                <w:szCs w:val="20"/>
              </w:rPr>
              <w:t>/681</w:t>
            </w:r>
          </w:p>
        </w:tc>
        <w:tc>
          <w:tcPr>
            <w:tcW w:w="1073" w:type="dxa"/>
            <w:vAlign w:val="center"/>
          </w:tcPr>
          <w:p w14:paraId="10552673" w14:textId="4804D12A" w:rsidR="0069021B" w:rsidRPr="00271864" w:rsidRDefault="00C156A2" w:rsidP="0069021B">
            <w:pPr>
              <w:jc w:val="center"/>
              <w:rPr>
                <w:rFonts w:cstheme="minorHAnsi"/>
                <w:sz w:val="20"/>
                <w:szCs w:val="20"/>
              </w:rPr>
            </w:pPr>
            <w:r>
              <w:rPr>
                <w:rFonts w:cstheme="minorHAnsi"/>
                <w:sz w:val="20"/>
                <w:szCs w:val="20"/>
              </w:rPr>
              <w:t>+125</w:t>
            </w:r>
          </w:p>
        </w:tc>
      </w:tr>
    </w:tbl>
    <w:p w14:paraId="7D46C787" w14:textId="420A0C8B" w:rsidR="00B55769" w:rsidRDefault="00B55769" w:rsidP="00DE02E7">
      <w:pPr>
        <w:spacing w:before="100" w:beforeAutospacing="1" w:after="100" w:afterAutospacing="1" w:line="240" w:lineRule="auto"/>
        <w:jc w:val="both"/>
        <w:rPr>
          <w:rFonts w:ascii="Calibri" w:hAnsi="Calibri" w:cs="Calibri"/>
          <w:lang w:eastAsia="lv-LV"/>
        </w:rPr>
      </w:pPr>
      <w:r w:rsidRPr="003D07A2">
        <w:rPr>
          <w:rFonts w:cstheme="minorHAnsi"/>
        </w:rPr>
        <w:t xml:space="preserve">Pārskata </w:t>
      </w:r>
      <w:r w:rsidR="00A606ED">
        <w:rPr>
          <w:rFonts w:cstheme="minorHAnsi"/>
        </w:rPr>
        <w:t xml:space="preserve">periodā pacientu plūsma </w:t>
      </w:r>
      <w:r w:rsidR="00241863">
        <w:rPr>
          <w:rFonts w:cstheme="minorHAnsi"/>
        </w:rPr>
        <w:t>pieaugusi psihiatra kabineta apmeklējumiem, to ietekmē p</w:t>
      </w:r>
      <w:r w:rsidR="00241863" w:rsidRPr="004B60B0">
        <w:rPr>
          <w:rFonts w:ascii="Calibri" w:hAnsi="Calibri" w:cs="Calibri"/>
          <w:lang w:eastAsia="lv-LV"/>
        </w:rPr>
        <w:t>ilotprojekta “Triažēšanas sistēmas (PsyLo) ieviešana ambulatoro pakalpojumu prioritizēšanas nodrošināšanā cilvēkiem ar psihiskām sūdzībām”</w:t>
      </w:r>
      <w:r w:rsidR="00241863">
        <w:rPr>
          <w:rFonts w:ascii="Calibri" w:hAnsi="Calibri" w:cs="Calibri"/>
          <w:lang w:eastAsia="lv-LV"/>
        </w:rPr>
        <w:t xml:space="preserve"> īstenošana no 01.01.-31.03.2026. </w:t>
      </w:r>
    </w:p>
    <w:p w14:paraId="3050127A" w14:textId="1455B3EF" w:rsidR="00DE02E7" w:rsidRDefault="006935F7" w:rsidP="00DE02E7">
      <w:pPr>
        <w:spacing w:before="100" w:beforeAutospacing="1" w:after="100" w:afterAutospacing="1" w:line="240" w:lineRule="auto"/>
        <w:jc w:val="both"/>
        <w:rPr>
          <w:rFonts w:ascii="Calibri" w:hAnsi="Calibri" w:cs="Calibri"/>
          <w:lang w:eastAsia="lv-LV"/>
        </w:rPr>
      </w:pPr>
      <w:r>
        <w:rPr>
          <w:rFonts w:ascii="Calibri" w:hAnsi="Calibri" w:cs="Calibri"/>
          <w:lang w:eastAsia="lv-LV"/>
        </w:rPr>
        <w:t xml:space="preserve">Vērojama pacientu apmeklējumu pieaugums arī psihiatrijas Dienas stacionārā, kur </w:t>
      </w:r>
      <w:r w:rsidR="00FC310B">
        <w:rPr>
          <w:rFonts w:ascii="Calibri" w:hAnsi="Calibri" w:cs="Calibri"/>
          <w:lang w:eastAsia="lv-LV"/>
        </w:rPr>
        <w:t xml:space="preserve">NVD neapmaksātais </w:t>
      </w:r>
      <w:r>
        <w:rPr>
          <w:rFonts w:ascii="Calibri" w:hAnsi="Calibri" w:cs="Calibri"/>
          <w:lang w:eastAsia="lv-LV"/>
        </w:rPr>
        <w:t xml:space="preserve">virskvotas apjoms </w:t>
      </w:r>
      <w:r w:rsidR="00FC310B">
        <w:rPr>
          <w:rFonts w:ascii="Calibri" w:hAnsi="Calibri" w:cs="Calibri"/>
          <w:lang w:eastAsia="lv-LV"/>
        </w:rPr>
        <w:t>ir 9973.74 euro</w:t>
      </w:r>
      <w:r w:rsidR="009769DE">
        <w:rPr>
          <w:rFonts w:ascii="Calibri" w:hAnsi="Calibri" w:cs="Calibri"/>
          <w:lang w:eastAsia="lv-LV"/>
        </w:rPr>
        <w:t>;</w:t>
      </w:r>
      <w:r w:rsidR="00FC310B">
        <w:rPr>
          <w:rFonts w:ascii="Calibri" w:hAnsi="Calibri" w:cs="Calibri"/>
          <w:lang w:eastAsia="lv-LV"/>
        </w:rPr>
        <w:t xml:space="preserve"> tiesu </w:t>
      </w:r>
      <w:r w:rsidR="00F20301">
        <w:rPr>
          <w:rFonts w:ascii="Calibri" w:hAnsi="Calibri" w:cs="Calibri"/>
          <w:lang w:eastAsia="lv-LV"/>
        </w:rPr>
        <w:t xml:space="preserve">psihiatriskā un psiholoģiskā ekspertīze – neapmaksātas 3 ekspertīzes </w:t>
      </w:r>
      <w:r w:rsidR="009769DE">
        <w:rPr>
          <w:rFonts w:ascii="Calibri" w:hAnsi="Calibri" w:cs="Calibri"/>
          <w:lang w:eastAsia="lv-LV"/>
        </w:rPr>
        <w:t xml:space="preserve">1042.6 euro vērtībā un Metadona aizvietojošā terapijas programmā – neapmaksātas 681 </w:t>
      </w:r>
      <w:r w:rsidR="00236183">
        <w:rPr>
          <w:rFonts w:ascii="Calibri" w:hAnsi="Calibri" w:cs="Calibri"/>
          <w:lang w:eastAsia="lv-LV"/>
        </w:rPr>
        <w:t>metadona devas, 701.43 euro vērtībā.</w:t>
      </w:r>
    </w:p>
    <w:p w14:paraId="69D96649" w14:textId="007D7241" w:rsidR="002E155F" w:rsidRDefault="00837B52" w:rsidP="00837B52">
      <w:pPr>
        <w:spacing w:after="0"/>
        <w:jc w:val="both"/>
        <w:rPr>
          <w:rFonts w:cstheme="minorHAnsi"/>
        </w:rPr>
      </w:pPr>
      <w:r>
        <w:rPr>
          <w:rFonts w:cstheme="minorHAnsi"/>
        </w:rPr>
        <w:t>Sniegto n</w:t>
      </w:r>
      <w:r w:rsidR="002E155F">
        <w:rPr>
          <w:rFonts w:cstheme="minorHAnsi"/>
        </w:rPr>
        <w:t xml:space="preserve">ekvotēto veselības </w:t>
      </w:r>
      <w:r>
        <w:rPr>
          <w:rFonts w:cstheme="minorHAnsi"/>
        </w:rPr>
        <w:t>aprūpes pakalpojumu apjoms pārskata periodā:</w:t>
      </w:r>
    </w:p>
    <w:p w14:paraId="547D94D7" w14:textId="5CF6BA61" w:rsidR="00837B52" w:rsidRPr="00837B52" w:rsidRDefault="00837B52" w:rsidP="00837B52">
      <w:pPr>
        <w:pStyle w:val="Sarakstarindkopa"/>
        <w:numPr>
          <w:ilvl w:val="0"/>
          <w:numId w:val="15"/>
        </w:numPr>
        <w:spacing w:after="0"/>
        <w:jc w:val="both"/>
        <w:rPr>
          <w:rFonts w:cstheme="minorHAnsi"/>
        </w:rPr>
      </w:pPr>
      <w:r w:rsidRPr="00837B52">
        <w:rPr>
          <w:rFonts w:cstheme="minorHAnsi"/>
        </w:rPr>
        <w:t xml:space="preserve">Agrīnā intervence – </w:t>
      </w:r>
      <w:r w:rsidR="00004152">
        <w:rPr>
          <w:rFonts w:cstheme="minorHAnsi"/>
        </w:rPr>
        <w:t xml:space="preserve">344 </w:t>
      </w:r>
      <w:r w:rsidRPr="00837B52">
        <w:rPr>
          <w:rFonts w:cstheme="minorHAnsi"/>
        </w:rPr>
        <w:t xml:space="preserve">apmeklējumi, </w:t>
      </w:r>
      <w:r w:rsidR="00047B2B">
        <w:rPr>
          <w:rFonts w:cstheme="minorHAnsi"/>
        </w:rPr>
        <w:t xml:space="preserve">22 100.98 euro ( 2025.gadā </w:t>
      </w:r>
      <w:r w:rsidRPr="00837B52">
        <w:rPr>
          <w:rFonts w:cstheme="minorHAnsi"/>
        </w:rPr>
        <w:t>22 278.26 euro</w:t>
      </w:r>
      <w:r w:rsidR="00047B2B">
        <w:rPr>
          <w:rFonts w:cstheme="minorHAnsi"/>
        </w:rPr>
        <w:t>)</w:t>
      </w:r>
    </w:p>
    <w:p w14:paraId="34F71DB3" w14:textId="2357C01B" w:rsidR="00837B52" w:rsidRPr="00837B52" w:rsidRDefault="00837B52" w:rsidP="00837B52">
      <w:pPr>
        <w:pStyle w:val="Sarakstarindkopa"/>
        <w:numPr>
          <w:ilvl w:val="0"/>
          <w:numId w:val="15"/>
        </w:numPr>
        <w:spacing w:after="0"/>
        <w:jc w:val="both"/>
        <w:rPr>
          <w:rFonts w:cstheme="minorHAnsi"/>
        </w:rPr>
      </w:pPr>
      <w:r w:rsidRPr="00837B52">
        <w:rPr>
          <w:rFonts w:cstheme="minorHAnsi"/>
        </w:rPr>
        <w:t>ADOS testi – 3</w:t>
      </w:r>
      <w:r w:rsidR="00047B2B">
        <w:rPr>
          <w:rFonts w:cstheme="minorHAnsi"/>
        </w:rPr>
        <w:t>4</w:t>
      </w:r>
      <w:r w:rsidRPr="00837B52">
        <w:rPr>
          <w:rFonts w:cstheme="minorHAnsi"/>
        </w:rPr>
        <w:t xml:space="preserve"> testi, </w:t>
      </w:r>
      <w:r w:rsidR="00DE02E7">
        <w:rPr>
          <w:rFonts w:cstheme="minorHAnsi"/>
        </w:rPr>
        <w:t xml:space="preserve">9628.8 euro (2025.gadā </w:t>
      </w:r>
      <w:r w:rsidRPr="00837B52">
        <w:rPr>
          <w:rFonts w:cstheme="minorHAnsi"/>
        </w:rPr>
        <w:t>11 044.80 euro</w:t>
      </w:r>
      <w:r w:rsidR="00DE02E7">
        <w:rPr>
          <w:rFonts w:cstheme="minorHAnsi"/>
        </w:rPr>
        <w:t>)</w:t>
      </w:r>
    </w:p>
    <w:p w14:paraId="3B7C97C9" w14:textId="77777777" w:rsidR="001C5450" w:rsidRDefault="001C5450" w:rsidP="00712DD6">
      <w:pPr>
        <w:spacing w:before="100" w:beforeAutospacing="1" w:after="100" w:afterAutospacing="1"/>
        <w:jc w:val="both"/>
        <w:rPr>
          <w:rFonts w:cstheme="minorHAnsi"/>
        </w:rPr>
      </w:pPr>
    </w:p>
    <w:p w14:paraId="37AF4174" w14:textId="77777777" w:rsidR="00236183" w:rsidRDefault="00236183" w:rsidP="00712DD6">
      <w:pPr>
        <w:spacing w:before="100" w:beforeAutospacing="1" w:after="100" w:afterAutospacing="1"/>
        <w:jc w:val="both"/>
        <w:rPr>
          <w:rFonts w:cstheme="minorHAnsi"/>
        </w:rPr>
      </w:pPr>
    </w:p>
    <w:p w14:paraId="093CACC0" w14:textId="77777777" w:rsidR="00236183" w:rsidRDefault="00236183" w:rsidP="00712DD6">
      <w:pPr>
        <w:spacing w:before="100" w:beforeAutospacing="1" w:after="100" w:afterAutospacing="1"/>
        <w:jc w:val="both"/>
        <w:rPr>
          <w:rFonts w:cstheme="minorHAnsi"/>
        </w:rPr>
      </w:pPr>
    </w:p>
    <w:p w14:paraId="0364C519" w14:textId="77777777" w:rsidR="00236183" w:rsidRDefault="00236183" w:rsidP="00712DD6">
      <w:pPr>
        <w:spacing w:before="100" w:beforeAutospacing="1" w:after="100" w:afterAutospacing="1"/>
        <w:jc w:val="both"/>
        <w:rPr>
          <w:rFonts w:cstheme="minorHAnsi"/>
        </w:rPr>
      </w:pPr>
    </w:p>
    <w:p w14:paraId="4A72332E" w14:textId="4E6578BB" w:rsidR="0010757F" w:rsidRPr="003D07A2" w:rsidRDefault="0010757F" w:rsidP="00D877B1">
      <w:pPr>
        <w:spacing w:before="100" w:beforeAutospacing="1" w:after="100" w:afterAutospacing="1"/>
        <w:jc w:val="both"/>
        <w:rPr>
          <w:rFonts w:cstheme="minorHAnsi"/>
          <w:b/>
          <w:bCs/>
        </w:rPr>
      </w:pPr>
      <w:r w:rsidRPr="003D07A2">
        <w:rPr>
          <w:rFonts w:cstheme="minorHAnsi"/>
          <w:b/>
          <w:bCs/>
        </w:rPr>
        <w:lastRenderedPageBreak/>
        <w:t>Nefinanšu mērķu</w:t>
      </w:r>
      <w:r w:rsidR="003C10F6">
        <w:rPr>
          <w:rFonts w:cstheme="minorHAnsi"/>
          <w:b/>
          <w:bCs/>
        </w:rPr>
        <w:t xml:space="preserve"> </w:t>
      </w:r>
      <w:r w:rsidRPr="003D07A2">
        <w:rPr>
          <w:rFonts w:cstheme="minorHAnsi"/>
          <w:b/>
          <w:bCs/>
        </w:rPr>
        <w:t>rezultatīvie rādītāji</w:t>
      </w:r>
    </w:p>
    <w:tbl>
      <w:tblPr>
        <w:tblStyle w:val="Reatabula"/>
        <w:tblW w:w="9067" w:type="dxa"/>
        <w:tblLook w:val="04A0" w:firstRow="1" w:lastRow="0" w:firstColumn="1" w:lastColumn="0" w:noHBand="0" w:noVBand="1"/>
      </w:tblPr>
      <w:tblGrid>
        <w:gridCol w:w="4673"/>
        <w:gridCol w:w="1559"/>
        <w:gridCol w:w="1586"/>
        <w:gridCol w:w="1249"/>
      </w:tblGrid>
      <w:tr w:rsidR="00F51C13" w:rsidRPr="00E8377F" w14:paraId="662721E8" w14:textId="77777777" w:rsidTr="00F51C13">
        <w:trPr>
          <w:trHeight w:val="456"/>
        </w:trPr>
        <w:tc>
          <w:tcPr>
            <w:tcW w:w="4673" w:type="dxa"/>
            <w:vAlign w:val="center"/>
          </w:tcPr>
          <w:p w14:paraId="1A224FAB" w14:textId="77777777" w:rsidR="00F51C13" w:rsidRPr="00E8377F" w:rsidRDefault="00F51C13" w:rsidP="00F51C13">
            <w:pPr>
              <w:jc w:val="center"/>
              <w:rPr>
                <w:rFonts w:cstheme="minorHAnsi"/>
                <w:sz w:val="20"/>
                <w:szCs w:val="20"/>
              </w:rPr>
            </w:pPr>
            <w:r w:rsidRPr="00E8377F">
              <w:rPr>
                <w:rFonts w:cstheme="minorHAnsi"/>
                <w:sz w:val="20"/>
                <w:szCs w:val="20"/>
              </w:rPr>
              <w:t>Rādītājs</w:t>
            </w:r>
          </w:p>
        </w:tc>
        <w:tc>
          <w:tcPr>
            <w:tcW w:w="1559" w:type="dxa"/>
            <w:vAlign w:val="center"/>
          </w:tcPr>
          <w:p w14:paraId="7FD3455D" w14:textId="54C5AAF0" w:rsidR="00F51C13" w:rsidRPr="00E8377F" w:rsidRDefault="00F51C13" w:rsidP="00F51C13">
            <w:pPr>
              <w:jc w:val="center"/>
              <w:rPr>
                <w:rFonts w:cstheme="minorHAnsi"/>
                <w:sz w:val="20"/>
                <w:szCs w:val="20"/>
              </w:rPr>
            </w:pPr>
            <w:r w:rsidRPr="00E8377F">
              <w:rPr>
                <w:rFonts w:cstheme="minorHAnsi"/>
                <w:sz w:val="20"/>
                <w:szCs w:val="20"/>
              </w:rPr>
              <w:t>202</w:t>
            </w:r>
            <w:r w:rsidR="00B34EAF">
              <w:rPr>
                <w:rFonts w:cstheme="minorHAnsi"/>
                <w:sz w:val="20"/>
                <w:szCs w:val="20"/>
              </w:rPr>
              <w:t>5</w:t>
            </w:r>
            <w:r w:rsidRPr="00E8377F">
              <w:rPr>
                <w:rFonts w:cstheme="minorHAnsi"/>
                <w:sz w:val="20"/>
                <w:szCs w:val="20"/>
              </w:rPr>
              <w:t>.gada 1.cet.fakts</w:t>
            </w:r>
          </w:p>
        </w:tc>
        <w:tc>
          <w:tcPr>
            <w:tcW w:w="1586" w:type="dxa"/>
            <w:vAlign w:val="center"/>
          </w:tcPr>
          <w:p w14:paraId="746B18D1" w14:textId="4DE749FE" w:rsidR="00F51C13" w:rsidRPr="00E8377F" w:rsidRDefault="00F51C13" w:rsidP="00F51C13">
            <w:pPr>
              <w:jc w:val="center"/>
              <w:rPr>
                <w:rFonts w:cstheme="minorHAnsi"/>
                <w:sz w:val="20"/>
                <w:szCs w:val="20"/>
              </w:rPr>
            </w:pPr>
            <w:r w:rsidRPr="00E8377F">
              <w:rPr>
                <w:rFonts w:cstheme="minorHAnsi"/>
                <w:sz w:val="20"/>
                <w:szCs w:val="20"/>
              </w:rPr>
              <w:t>202</w:t>
            </w:r>
            <w:r w:rsidR="00ED024D">
              <w:rPr>
                <w:rFonts w:cstheme="minorHAnsi"/>
                <w:sz w:val="20"/>
                <w:szCs w:val="20"/>
              </w:rPr>
              <w:t>6</w:t>
            </w:r>
            <w:r w:rsidRPr="00E8377F">
              <w:rPr>
                <w:rFonts w:cstheme="minorHAnsi"/>
                <w:sz w:val="20"/>
                <w:szCs w:val="20"/>
              </w:rPr>
              <w:t>.gada plāns</w:t>
            </w:r>
          </w:p>
        </w:tc>
        <w:tc>
          <w:tcPr>
            <w:tcW w:w="1249" w:type="dxa"/>
            <w:vAlign w:val="center"/>
          </w:tcPr>
          <w:p w14:paraId="4BA40ABA" w14:textId="6FD7858A" w:rsidR="00F51C13" w:rsidRPr="00E8377F" w:rsidRDefault="00F51C13" w:rsidP="00F51C13">
            <w:pPr>
              <w:jc w:val="center"/>
              <w:rPr>
                <w:rFonts w:cstheme="minorHAnsi"/>
                <w:sz w:val="20"/>
                <w:szCs w:val="20"/>
              </w:rPr>
            </w:pPr>
            <w:r w:rsidRPr="00E8377F">
              <w:rPr>
                <w:rFonts w:cstheme="minorHAnsi"/>
                <w:sz w:val="20"/>
                <w:szCs w:val="20"/>
              </w:rPr>
              <w:t>202</w:t>
            </w:r>
            <w:r w:rsidR="00ED024D">
              <w:rPr>
                <w:rFonts w:cstheme="minorHAnsi"/>
                <w:sz w:val="20"/>
                <w:szCs w:val="20"/>
              </w:rPr>
              <w:t>6</w:t>
            </w:r>
            <w:r w:rsidRPr="00E8377F">
              <w:rPr>
                <w:rFonts w:cstheme="minorHAnsi"/>
                <w:sz w:val="20"/>
                <w:szCs w:val="20"/>
              </w:rPr>
              <w:t>.gada 1.cet.fakts</w:t>
            </w:r>
          </w:p>
        </w:tc>
      </w:tr>
      <w:tr w:rsidR="004C753A" w:rsidRPr="00E8377F" w14:paraId="21CE53C5" w14:textId="77777777" w:rsidTr="00F51C13">
        <w:trPr>
          <w:trHeight w:val="469"/>
        </w:trPr>
        <w:tc>
          <w:tcPr>
            <w:tcW w:w="4673" w:type="dxa"/>
            <w:vAlign w:val="center"/>
          </w:tcPr>
          <w:p w14:paraId="064CA59D" w14:textId="17BDAED2" w:rsidR="004C753A" w:rsidRPr="00E8377F" w:rsidRDefault="004C753A" w:rsidP="004C753A">
            <w:pPr>
              <w:rPr>
                <w:rFonts w:cstheme="minorHAnsi"/>
                <w:sz w:val="20"/>
                <w:szCs w:val="20"/>
              </w:rPr>
            </w:pPr>
            <w:r w:rsidRPr="00E8377F">
              <w:rPr>
                <w:rFonts w:cstheme="minorHAnsi"/>
                <w:color w:val="000000"/>
                <w:sz w:val="20"/>
                <w:szCs w:val="20"/>
              </w:rPr>
              <w:t>Kopējais stacionāro gultu skaits (perioda beigās)</w:t>
            </w:r>
          </w:p>
        </w:tc>
        <w:tc>
          <w:tcPr>
            <w:tcW w:w="1559" w:type="dxa"/>
            <w:vAlign w:val="center"/>
          </w:tcPr>
          <w:p w14:paraId="409AD43F" w14:textId="38E8EC5F" w:rsidR="004C753A" w:rsidRPr="00E8377F" w:rsidRDefault="004C753A" w:rsidP="004C753A">
            <w:pPr>
              <w:jc w:val="center"/>
              <w:rPr>
                <w:rFonts w:cstheme="minorHAnsi"/>
                <w:sz w:val="20"/>
                <w:szCs w:val="20"/>
              </w:rPr>
            </w:pPr>
            <w:r>
              <w:rPr>
                <w:rFonts w:cstheme="minorHAnsi"/>
                <w:sz w:val="20"/>
                <w:szCs w:val="20"/>
              </w:rPr>
              <w:t>269</w:t>
            </w:r>
          </w:p>
        </w:tc>
        <w:tc>
          <w:tcPr>
            <w:tcW w:w="1586" w:type="dxa"/>
            <w:vAlign w:val="center"/>
          </w:tcPr>
          <w:p w14:paraId="7C2323E7" w14:textId="4ACB963A" w:rsidR="004C753A" w:rsidRPr="00E8377F" w:rsidRDefault="004C753A" w:rsidP="004C753A">
            <w:pPr>
              <w:jc w:val="center"/>
              <w:rPr>
                <w:rFonts w:cstheme="minorHAnsi"/>
                <w:sz w:val="20"/>
                <w:szCs w:val="20"/>
              </w:rPr>
            </w:pPr>
            <w:r>
              <w:rPr>
                <w:rFonts w:cstheme="minorHAnsi"/>
                <w:sz w:val="20"/>
                <w:szCs w:val="20"/>
              </w:rPr>
              <w:t>26</w:t>
            </w:r>
            <w:r w:rsidR="005B6512">
              <w:rPr>
                <w:rFonts w:cstheme="minorHAnsi"/>
                <w:sz w:val="20"/>
                <w:szCs w:val="20"/>
              </w:rPr>
              <w:t>3</w:t>
            </w:r>
          </w:p>
        </w:tc>
        <w:tc>
          <w:tcPr>
            <w:tcW w:w="1249" w:type="dxa"/>
            <w:vAlign w:val="center"/>
          </w:tcPr>
          <w:p w14:paraId="6B255797" w14:textId="1AB86447" w:rsidR="004C753A" w:rsidRPr="00E8377F" w:rsidRDefault="004C753A" w:rsidP="004C753A">
            <w:pPr>
              <w:jc w:val="center"/>
              <w:rPr>
                <w:rFonts w:cstheme="minorHAnsi"/>
                <w:sz w:val="20"/>
                <w:szCs w:val="20"/>
              </w:rPr>
            </w:pPr>
            <w:r>
              <w:rPr>
                <w:rFonts w:cstheme="minorHAnsi"/>
                <w:sz w:val="20"/>
                <w:szCs w:val="20"/>
              </w:rPr>
              <w:t>26</w:t>
            </w:r>
            <w:r w:rsidR="00ED024D">
              <w:rPr>
                <w:rFonts w:cstheme="minorHAnsi"/>
                <w:sz w:val="20"/>
                <w:szCs w:val="20"/>
              </w:rPr>
              <w:t>3</w:t>
            </w:r>
          </w:p>
        </w:tc>
      </w:tr>
      <w:tr w:rsidR="004C753A" w:rsidRPr="00E8377F" w14:paraId="1823008E" w14:textId="77777777" w:rsidTr="00F51C13">
        <w:trPr>
          <w:trHeight w:val="531"/>
        </w:trPr>
        <w:tc>
          <w:tcPr>
            <w:tcW w:w="4673" w:type="dxa"/>
            <w:vAlign w:val="center"/>
          </w:tcPr>
          <w:p w14:paraId="03707314" w14:textId="77777777" w:rsidR="004C753A" w:rsidRPr="00E8377F" w:rsidRDefault="004C753A" w:rsidP="004C753A">
            <w:pPr>
              <w:rPr>
                <w:rFonts w:cstheme="minorHAnsi"/>
                <w:sz w:val="20"/>
                <w:szCs w:val="20"/>
              </w:rPr>
            </w:pPr>
            <w:r w:rsidRPr="00E8377F">
              <w:rPr>
                <w:rFonts w:cstheme="minorHAnsi"/>
                <w:color w:val="000000"/>
                <w:sz w:val="20"/>
                <w:szCs w:val="20"/>
              </w:rPr>
              <w:t>Praktizējošo ārstu (bez zobārstiem un rezidentiem) un praktizējošo māsu skaita attiecība</w:t>
            </w:r>
          </w:p>
        </w:tc>
        <w:tc>
          <w:tcPr>
            <w:tcW w:w="1559" w:type="dxa"/>
            <w:vAlign w:val="center"/>
          </w:tcPr>
          <w:p w14:paraId="0DD56C14" w14:textId="747B0774" w:rsidR="004C753A" w:rsidRPr="00E8377F" w:rsidRDefault="004C753A" w:rsidP="004C753A">
            <w:pPr>
              <w:jc w:val="center"/>
              <w:rPr>
                <w:rFonts w:cstheme="minorHAnsi"/>
                <w:sz w:val="20"/>
                <w:szCs w:val="20"/>
              </w:rPr>
            </w:pPr>
            <w:r w:rsidRPr="00E8377F">
              <w:rPr>
                <w:rFonts w:cstheme="minorHAnsi"/>
                <w:sz w:val="20"/>
                <w:szCs w:val="20"/>
              </w:rPr>
              <w:t>3</w:t>
            </w:r>
            <w:r w:rsidR="00B34EAF">
              <w:rPr>
                <w:rFonts w:cstheme="minorHAnsi"/>
                <w:sz w:val="20"/>
                <w:szCs w:val="20"/>
              </w:rPr>
              <w:t>5</w:t>
            </w:r>
            <w:r w:rsidRPr="00E8377F">
              <w:rPr>
                <w:rFonts w:cstheme="minorHAnsi"/>
                <w:sz w:val="20"/>
                <w:szCs w:val="20"/>
              </w:rPr>
              <w:t>/1</w:t>
            </w:r>
            <w:r>
              <w:rPr>
                <w:rFonts w:cstheme="minorHAnsi"/>
                <w:sz w:val="20"/>
                <w:szCs w:val="20"/>
              </w:rPr>
              <w:t>0</w:t>
            </w:r>
            <w:r w:rsidR="00B34EAF">
              <w:rPr>
                <w:rFonts w:cstheme="minorHAnsi"/>
                <w:sz w:val="20"/>
                <w:szCs w:val="20"/>
              </w:rPr>
              <w:t>8</w:t>
            </w:r>
          </w:p>
        </w:tc>
        <w:tc>
          <w:tcPr>
            <w:tcW w:w="1586" w:type="dxa"/>
            <w:vAlign w:val="center"/>
          </w:tcPr>
          <w:p w14:paraId="490A24BD" w14:textId="4BAC26C0" w:rsidR="004C753A" w:rsidRPr="00E8377F" w:rsidRDefault="004C753A" w:rsidP="004C753A">
            <w:pPr>
              <w:jc w:val="center"/>
              <w:rPr>
                <w:rFonts w:cstheme="minorHAnsi"/>
                <w:sz w:val="20"/>
                <w:szCs w:val="20"/>
              </w:rPr>
            </w:pPr>
            <w:r>
              <w:rPr>
                <w:rFonts w:cstheme="minorHAnsi"/>
                <w:sz w:val="20"/>
                <w:szCs w:val="20"/>
              </w:rPr>
              <w:t>3</w:t>
            </w:r>
            <w:r w:rsidR="005B6512">
              <w:rPr>
                <w:rFonts w:cstheme="minorHAnsi"/>
                <w:sz w:val="20"/>
                <w:szCs w:val="20"/>
              </w:rPr>
              <w:t>9</w:t>
            </w:r>
            <w:r w:rsidRPr="00E8377F">
              <w:rPr>
                <w:rFonts w:cstheme="minorHAnsi"/>
                <w:sz w:val="20"/>
                <w:szCs w:val="20"/>
              </w:rPr>
              <w:t>/</w:t>
            </w:r>
            <w:r>
              <w:rPr>
                <w:rFonts w:cstheme="minorHAnsi"/>
                <w:sz w:val="20"/>
                <w:szCs w:val="20"/>
              </w:rPr>
              <w:t>11</w:t>
            </w:r>
            <w:r w:rsidR="005B6512">
              <w:rPr>
                <w:rFonts w:cstheme="minorHAnsi"/>
                <w:sz w:val="20"/>
                <w:szCs w:val="20"/>
              </w:rPr>
              <w:t>0</w:t>
            </w:r>
          </w:p>
        </w:tc>
        <w:tc>
          <w:tcPr>
            <w:tcW w:w="1249" w:type="dxa"/>
            <w:vAlign w:val="center"/>
          </w:tcPr>
          <w:p w14:paraId="25304752" w14:textId="745642EE" w:rsidR="004C753A" w:rsidRPr="00E8377F" w:rsidRDefault="004C753A" w:rsidP="004C753A">
            <w:pPr>
              <w:jc w:val="center"/>
              <w:rPr>
                <w:rFonts w:cstheme="minorHAnsi"/>
                <w:color w:val="FF0000"/>
                <w:sz w:val="20"/>
                <w:szCs w:val="20"/>
              </w:rPr>
            </w:pPr>
            <w:r w:rsidRPr="00E8377F">
              <w:rPr>
                <w:rFonts w:cstheme="minorHAnsi"/>
                <w:sz w:val="20"/>
                <w:szCs w:val="20"/>
              </w:rPr>
              <w:t>3</w:t>
            </w:r>
            <w:r w:rsidR="00B00E46">
              <w:rPr>
                <w:rFonts w:cstheme="minorHAnsi"/>
                <w:sz w:val="20"/>
                <w:szCs w:val="20"/>
              </w:rPr>
              <w:t>7</w:t>
            </w:r>
            <w:r w:rsidRPr="00E8377F">
              <w:rPr>
                <w:rFonts w:cstheme="minorHAnsi"/>
                <w:sz w:val="20"/>
                <w:szCs w:val="20"/>
              </w:rPr>
              <w:t>/1</w:t>
            </w:r>
            <w:r>
              <w:rPr>
                <w:rFonts w:cstheme="minorHAnsi"/>
                <w:sz w:val="20"/>
                <w:szCs w:val="20"/>
              </w:rPr>
              <w:t>08</w:t>
            </w:r>
          </w:p>
        </w:tc>
      </w:tr>
      <w:tr w:rsidR="004C753A" w:rsidRPr="00E8377F" w14:paraId="20FCA30D" w14:textId="77777777" w:rsidTr="00F51C13">
        <w:trPr>
          <w:trHeight w:val="901"/>
        </w:trPr>
        <w:tc>
          <w:tcPr>
            <w:tcW w:w="4673" w:type="dxa"/>
            <w:vAlign w:val="center"/>
          </w:tcPr>
          <w:p w14:paraId="11D905DB" w14:textId="77777777" w:rsidR="004C753A" w:rsidRPr="00E8377F" w:rsidRDefault="004C753A" w:rsidP="004C753A">
            <w:pPr>
              <w:rPr>
                <w:rFonts w:cstheme="minorHAnsi"/>
                <w:sz w:val="20"/>
                <w:szCs w:val="20"/>
              </w:rPr>
            </w:pPr>
            <w:r w:rsidRPr="00E8377F">
              <w:rPr>
                <w:rFonts w:cstheme="minorHAnsi"/>
                <w:color w:val="000000"/>
                <w:sz w:val="20"/>
                <w:szCs w:val="20"/>
              </w:rPr>
              <w:t>Iestādē strādājošo ārstniecības personu vecuma grupā 25-40 gadiem īpatsvars no kopējā iestādē strādājošo ārstniecības personu skaita, %</w:t>
            </w:r>
          </w:p>
        </w:tc>
        <w:tc>
          <w:tcPr>
            <w:tcW w:w="1559" w:type="dxa"/>
            <w:vAlign w:val="center"/>
          </w:tcPr>
          <w:p w14:paraId="4D5A01DD" w14:textId="781A4129" w:rsidR="004C753A" w:rsidRPr="00E8377F" w:rsidRDefault="004C753A" w:rsidP="004C753A">
            <w:pPr>
              <w:jc w:val="center"/>
              <w:rPr>
                <w:rFonts w:cstheme="minorHAnsi"/>
                <w:sz w:val="20"/>
                <w:szCs w:val="20"/>
              </w:rPr>
            </w:pPr>
            <w:r>
              <w:rPr>
                <w:rFonts w:cstheme="minorHAnsi"/>
                <w:sz w:val="20"/>
                <w:szCs w:val="20"/>
              </w:rPr>
              <w:t>2</w:t>
            </w:r>
            <w:r w:rsidR="00B34EAF">
              <w:rPr>
                <w:rFonts w:cstheme="minorHAnsi"/>
                <w:sz w:val="20"/>
                <w:szCs w:val="20"/>
              </w:rPr>
              <w:t>5</w:t>
            </w:r>
          </w:p>
        </w:tc>
        <w:tc>
          <w:tcPr>
            <w:tcW w:w="1586" w:type="dxa"/>
            <w:vAlign w:val="center"/>
          </w:tcPr>
          <w:p w14:paraId="33180CB1" w14:textId="2B6C7EA5" w:rsidR="004C753A" w:rsidRPr="00E8377F" w:rsidRDefault="004C753A" w:rsidP="004C753A">
            <w:pPr>
              <w:jc w:val="center"/>
              <w:rPr>
                <w:rFonts w:cstheme="minorHAnsi"/>
                <w:sz w:val="20"/>
                <w:szCs w:val="20"/>
              </w:rPr>
            </w:pPr>
            <w:r>
              <w:rPr>
                <w:rFonts w:cstheme="minorHAnsi"/>
                <w:sz w:val="20"/>
                <w:szCs w:val="20"/>
              </w:rPr>
              <w:t>2</w:t>
            </w:r>
            <w:r w:rsidR="00BD76C3">
              <w:rPr>
                <w:rFonts w:cstheme="minorHAnsi"/>
                <w:sz w:val="20"/>
                <w:szCs w:val="20"/>
              </w:rPr>
              <w:t>5</w:t>
            </w:r>
          </w:p>
        </w:tc>
        <w:tc>
          <w:tcPr>
            <w:tcW w:w="1249" w:type="dxa"/>
            <w:vAlign w:val="center"/>
          </w:tcPr>
          <w:p w14:paraId="3CABC01D" w14:textId="2121F2BC" w:rsidR="004C753A" w:rsidRPr="00E8377F" w:rsidRDefault="004C753A" w:rsidP="004C753A">
            <w:pPr>
              <w:jc w:val="center"/>
              <w:rPr>
                <w:rFonts w:cstheme="minorHAnsi"/>
                <w:color w:val="FF0000"/>
                <w:sz w:val="20"/>
                <w:szCs w:val="20"/>
              </w:rPr>
            </w:pPr>
            <w:r>
              <w:rPr>
                <w:rFonts w:cstheme="minorHAnsi"/>
                <w:sz w:val="20"/>
                <w:szCs w:val="20"/>
              </w:rPr>
              <w:t>2</w:t>
            </w:r>
            <w:r w:rsidR="00ED024D">
              <w:rPr>
                <w:rFonts w:cstheme="minorHAnsi"/>
                <w:sz w:val="20"/>
                <w:szCs w:val="20"/>
              </w:rPr>
              <w:t>6</w:t>
            </w:r>
          </w:p>
        </w:tc>
      </w:tr>
      <w:tr w:rsidR="004C753A" w:rsidRPr="00E8377F" w14:paraId="51AB0EED" w14:textId="77777777" w:rsidTr="00F51C13">
        <w:trPr>
          <w:trHeight w:val="469"/>
        </w:trPr>
        <w:tc>
          <w:tcPr>
            <w:tcW w:w="4673" w:type="dxa"/>
            <w:vAlign w:val="center"/>
          </w:tcPr>
          <w:p w14:paraId="1707FAA6" w14:textId="77777777" w:rsidR="004C753A" w:rsidRPr="00E8377F" w:rsidRDefault="004C753A" w:rsidP="004C753A">
            <w:pPr>
              <w:rPr>
                <w:rFonts w:cstheme="minorHAnsi"/>
                <w:sz w:val="20"/>
                <w:szCs w:val="20"/>
              </w:rPr>
            </w:pPr>
            <w:r w:rsidRPr="00E8377F">
              <w:rPr>
                <w:rFonts w:cstheme="minorHAnsi"/>
                <w:color w:val="000000"/>
                <w:sz w:val="20"/>
                <w:szCs w:val="20"/>
              </w:rPr>
              <w:t>Vidējais ārstēšanās ilgums, dienas</w:t>
            </w:r>
          </w:p>
        </w:tc>
        <w:tc>
          <w:tcPr>
            <w:tcW w:w="1559" w:type="dxa"/>
            <w:vAlign w:val="center"/>
          </w:tcPr>
          <w:p w14:paraId="10FD3981" w14:textId="0936CACC" w:rsidR="004C753A" w:rsidRPr="00E8377F" w:rsidRDefault="004C753A" w:rsidP="004C753A">
            <w:pPr>
              <w:jc w:val="center"/>
              <w:rPr>
                <w:rFonts w:cstheme="minorHAnsi"/>
                <w:sz w:val="20"/>
                <w:szCs w:val="20"/>
              </w:rPr>
            </w:pPr>
            <w:r w:rsidRPr="00E8377F">
              <w:rPr>
                <w:rFonts w:cstheme="minorHAnsi"/>
                <w:sz w:val="20"/>
                <w:szCs w:val="20"/>
              </w:rPr>
              <w:t>2</w:t>
            </w:r>
            <w:r>
              <w:rPr>
                <w:rFonts w:cstheme="minorHAnsi"/>
                <w:sz w:val="20"/>
                <w:szCs w:val="20"/>
              </w:rPr>
              <w:t>3</w:t>
            </w:r>
          </w:p>
        </w:tc>
        <w:tc>
          <w:tcPr>
            <w:tcW w:w="1586" w:type="dxa"/>
            <w:vAlign w:val="center"/>
          </w:tcPr>
          <w:p w14:paraId="0B756FF3" w14:textId="01F4001C" w:rsidR="004C753A" w:rsidRPr="00E8377F" w:rsidRDefault="004C753A" w:rsidP="004C753A">
            <w:pPr>
              <w:jc w:val="center"/>
              <w:rPr>
                <w:rFonts w:cstheme="minorHAnsi"/>
                <w:sz w:val="20"/>
                <w:szCs w:val="20"/>
              </w:rPr>
            </w:pPr>
            <w:r>
              <w:rPr>
                <w:rFonts w:cstheme="minorHAnsi"/>
                <w:sz w:val="20"/>
                <w:szCs w:val="20"/>
              </w:rPr>
              <w:t>23</w:t>
            </w:r>
          </w:p>
        </w:tc>
        <w:tc>
          <w:tcPr>
            <w:tcW w:w="1249" w:type="dxa"/>
            <w:vAlign w:val="center"/>
          </w:tcPr>
          <w:p w14:paraId="33548549" w14:textId="73B03E4E" w:rsidR="004C753A" w:rsidRPr="00E8377F" w:rsidRDefault="004C753A" w:rsidP="004C753A">
            <w:pPr>
              <w:jc w:val="center"/>
              <w:rPr>
                <w:rFonts w:cstheme="minorHAnsi"/>
                <w:sz w:val="20"/>
                <w:szCs w:val="20"/>
              </w:rPr>
            </w:pPr>
            <w:r w:rsidRPr="00E8377F">
              <w:rPr>
                <w:rFonts w:cstheme="minorHAnsi"/>
                <w:sz w:val="20"/>
                <w:szCs w:val="20"/>
              </w:rPr>
              <w:t>2</w:t>
            </w:r>
            <w:r>
              <w:rPr>
                <w:rFonts w:cstheme="minorHAnsi"/>
                <w:sz w:val="20"/>
                <w:szCs w:val="20"/>
              </w:rPr>
              <w:t>3</w:t>
            </w:r>
          </w:p>
        </w:tc>
      </w:tr>
      <w:tr w:rsidR="004C753A" w:rsidRPr="00E8377F" w14:paraId="6FDA00AD" w14:textId="77777777" w:rsidTr="00F51C13">
        <w:trPr>
          <w:trHeight w:val="220"/>
        </w:trPr>
        <w:tc>
          <w:tcPr>
            <w:tcW w:w="4673" w:type="dxa"/>
            <w:vAlign w:val="center"/>
          </w:tcPr>
          <w:p w14:paraId="2A68865F" w14:textId="77777777" w:rsidR="004C753A" w:rsidRPr="00E8377F" w:rsidRDefault="004C753A" w:rsidP="004C753A">
            <w:pPr>
              <w:rPr>
                <w:rFonts w:cstheme="minorHAnsi"/>
                <w:sz w:val="20"/>
                <w:szCs w:val="20"/>
              </w:rPr>
            </w:pPr>
            <w:r w:rsidRPr="00E8377F">
              <w:rPr>
                <w:rFonts w:cstheme="minorHAnsi"/>
                <w:color w:val="000000"/>
                <w:sz w:val="20"/>
                <w:szCs w:val="20"/>
              </w:rPr>
              <w:t>Gultu noslodze, %</w:t>
            </w:r>
          </w:p>
        </w:tc>
        <w:tc>
          <w:tcPr>
            <w:tcW w:w="1559" w:type="dxa"/>
            <w:vAlign w:val="center"/>
          </w:tcPr>
          <w:p w14:paraId="35D99558" w14:textId="740F026B" w:rsidR="004C753A" w:rsidRPr="00E8377F" w:rsidRDefault="004C753A" w:rsidP="004C753A">
            <w:pPr>
              <w:jc w:val="center"/>
              <w:rPr>
                <w:rFonts w:cstheme="minorHAnsi"/>
                <w:sz w:val="20"/>
                <w:szCs w:val="20"/>
              </w:rPr>
            </w:pPr>
            <w:r>
              <w:rPr>
                <w:rFonts w:cstheme="minorHAnsi"/>
                <w:sz w:val="20"/>
                <w:szCs w:val="20"/>
              </w:rPr>
              <w:t>7</w:t>
            </w:r>
            <w:r w:rsidR="00B34EAF">
              <w:rPr>
                <w:rFonts w:cstheme="minorHAnsi"/>
                <w:sz w:val="20"/>
                <w:szCs w:val="20"/>
              </w:rPr>
              <w:t>5</w:t>
            </w:r>
          </w:p>
        </w:tc>
        <w:tc>
          <w:tcPr>
            <w:tcW w:w="1586" w:type="dxa"/>
            <w:vAlign w:val="center"/>
          </w:tcPr>
          <w:p w14:paraId="6729856A" w14:textId="3CAD584A" w:rsidR="004C753A" w:rsidRPr="00E8377F" w:rsidRDefault="004C753A" w:rsidP="004C753A">
            <w:pPr>
              <w:jc w:val="center"/>
              <w:rPr>
                <w:rFonts w:cstheme="minorHAnsi"/>
                <w:sz w:val="20"/>
                <w:szCs w:val="20"/>
              </w:rPr>
            </w:pPr>
            <w:r>
              <w:rPr>
                <w:rFonts w:cstheme="minorHAnsi"/>
                <w:sz w:val="20"/>
                <w:szCs w:val="20"/>
              </w:rPr>
              <w:t>7</w:t>
            </w:r>
            <w:r w:rsidR="00BD76C3">
              <w:rPr>
                <w:rFonts w:cstheme="minorHAnsi"/>
                <w:sz w:val="20"/>
                <w:szCs w:val="20"/>
              </w:rPr>
              <w:t>5</w:t>
            </w:r>
          </w:p>
        </w:tc>
        <w:tc>
          <w:tcPr>
            <w:tcW w:w="1249" w:type="dxa"/>
            <w:vAlign w:val="center"/>
          </w:tcPr>
          <w:p w14:paraId="3EF0112B" w14:textId="5CBD2E3D" w:rsidR="004C753A" w:rsidRPr="00E8377F" w:rsidRDefault="004C753A" w:rsidP="004C753A">
            <w:pPr>
              <w:jc w:val="center"/>
              <w:rPr>
                <w:rFonts w:cstheme="minorHAnsi"/>
                <w:sz w:val="20"/>
                <w:szCs w:val="20"/>
              </w:rPr>
            </w:pPr>
            <w:r>
              <w:rPr>
                <w:rFonts w:cstheme="minorHAnsi"/>
                <w:sz w:val="20"/>
                <w:szCs w:val="20"/>
              </w:rPr>
              <w:t>7</w:t>
            </w:r>
            <w:r w:rsidR="00277E51">
              <w:rPr>
                <w:rFonts w:cstheme="minorHAnsi"/>
                <w:sz w:val="20"/>
                <w:szCs w:val="20"/>
              </w:rPr>
              <w:t>3</w:t>
            </w:r>
          </w:p>
        </w:tc>
      </w:tr>
      <w:tr w:rsidR="004C753A" w:rsidRPr="00E8377F" w14:paraId="34147CE7" w14:textId="77777777" w:rsidTr="00F51C13">
        <w:trPr>
          <w:trHeight w:val="984"/>
        </w:trPr>
        <w:tc>
          <w:tcPr>
            <w:tcW w:w="4673" w:type="dxa"/>
            <w:vAlign w:val="center"/>
          </w:tcPr>
          <w:p w14:paraId="1958EB2E" w14:textId="77777777" w:rsidR="004C753A" w:rsidRPr="00E8377F" w:rsidRDefault="004C753A" w:rsidP="004C753A">
            <w:pPr>
              <w:rPr>
                <w:rFonts w:cstheme="minorHAnsi"/>
                <w:sz w:val="20"/>
                <w:szCs w:val="20"/>
              </w:rPr>
            </w:pPr>
            <w:r w:rsidRPr="00E8377F">
              <w:rPr>
                <w:rFonts w:cstheme="minorHAnsi"/>
                <w:color w:val="000000"/>
                <w:sz w:val="20"/>
                <w:szCs w:val="20"/>
              </w:rPr>
              <w:t>Pacientu ar šizofrēniju, šizotipiskiem traucējumiem vai murgiem neatliekama atkārtota stacionēšana 30 dienu laikā tajā pašā stacionārajā ārstniecības iestādē,%</w:t>
            </w:r>
          </w:p>
        </w:tc>
        <w:tc>
          <w:tcPr>
            <w:tcW w:w="1559" w:type="dxa"/>
            <w:vAlign w:val="center"/>
          </w:tcPr>
          <w:p w14:paraId="3F370472" w14:textId="7E15DA96" w:rsidR="004C753A" w:rsidRPr="00E8377F" w:rsidRDefault="00B34EAF" w:rsidP="004C753A">
            <w:pPr>
              <w:jc w:val="center"/>
              <w:rPr>
                <w:rFonts w:cstheme="minorHAnsi"/>
                <w:sz w:val="20"/>
                <w:szCs w:val="20"/>
              </w:rPr>
            </w:pPr>
            <w:r>
              <w:rPr>
                <w:rFonts w:cstheme="minorHAnsi"/>
                <w:sz w:val="20"/>
                <w:szCs w:val="20"/>
              </w:rPr>
              <w:t>7</w:t>
            </w:r>
            <w:r w:rsidR="004C753A" w:rsidRPr="00E8377F">
              <w:rPr>
                <w:rFonts w:cstheme="minorHAnsi"/>
                <w:sz w:val="20"/>
                <w:szCs w:val="20"/>
              </w:rPr>
              <w:t>/</w:t>
            </w:r>
            <w:r w:rsidR="004C753A">
              <w:rPr>
                <w:rFonts w:cstheme="minorHAnsi"/>
                <w:sz w:val="20"/>
                <w:szCs w:val="20"/>
              </w:rPr>
              <w:t>7</w:t>
            </w:r>
            <w:r w:rsidR="004C753A" w:rsidRPr="00E8377F">
              <w:rPr>
                <w:rFonts w:cstheme="minorHAnsi"/>
                <w:sz w:val="20"/>
                <w:szCs w:val="20"/>
              </w:rPr>
              <w:t>%</w:t>
            </w:r>
          </w:p>
        </w:tc>
        <w:tc>
          <w:tcPr>
            <w:tcW w:w="1586" w:type="dxa"/>
            <w:vAlign w:val="center"/>
          </w:tcPr>
          <w:p w14:paraId="3C81AD8E" w14:textId="483D467C" w:rsidR="004C753A" w:rsidRPr="00E8377F" w:rsidRDefault="00C57441" w:rsidP="004C753A">
            <w:pPr>
              <w:jc w:val="center"/>
              <w:rPr>
                <w:rFonts w:cstheme="minorHAnsi"/>
                <w:sz w:val="20"/>
                <w:szCs w:val="20"/>
              </w:rPr>
            </w:pPr>
            <w:r>
              <w:rPr>
                <w:rFonts w:cstheme="minorHAnsi"/>
                <w:sz w:val="20"/>
                <w:szCs w:val="20"/>
              </w:rPr>
              <w:t>8</w:t>
            </w:r>
            <w:r w:rsidR="00BD76C3">
              <w:rPr>
                <w:rFonts w:cstheme="minorHAnsi"/>
                <w:sz w:val="20"/>
                <w:szCs w:val="20"/>
              </w:rPr>
              <w:t>5</w:t>
            </w:r>
            <w:r w:rsidR="004C753A" w:rsidRPr="00E8377F">
              <w:rPr>
                <w:rFonts w:cstheme="minorHAnsi"/>
                <w:sz w:val="20"/>
                <w:szCs w:val="20"/>
              </w:rPr>
              <w:t>/</w:t>
            </w:r>
            <w:r w:rsidR="00BD76C3">
              <w:rPr>
                <w:rFonts w:cstheme="minorHAnsi"/>
                <w:sz w:val="20"/>
                <w:szCs w:val="20"/>
              </w:rPr>
              <w:t>16</w:t>
            </w:r>
            <w:r w:rsidR="004C753A" w:rsidRPr="00E8377F">
              <w:rPr>
                <w:rFonts w:cstheme="minorHAnsi"/>
                <w:sz w:val="20"/>
                <w:szCs w:val="20"/>
              </w:rPr>
              <w:t>%</w:t>
            </w:r>
            <w:r w:rsidR="004C753A">
              <w:rPr>
                <w:rFonts w:cstheme="minorHAnsi"/>
                <w:sz w:val="20"/>
                <w:szCs w:val="20"/>
              </w:rPr>
              <w:t xml:space="preserve"> (gada rādītājs)</w:t>
            </w:r>
          </w:p>
        </w:tc>
        <w:tc>
          <w:tcPr>
            <w:tcW w:w="1249" w:type="dxa"/>
            <w:vAlign w:val="center"/>
          </w:tcPr>
          <w:p w14:paraId="55EC0391" w14:textId="5B15BCD4" w:rsidR="004C753A" w:rsidRPr="00E8377F" w:rsidRDefault="00F81318" w:rsidP="004C753A">
            <w:pPr>
              <w:jc w:val="center"/>
              <w:rPr>
                <w:rFonts w:cstheme="minorHAnsi"/>
                <w:sz w:val="20"/>
                <w:szCs w:val="20"/>
              </w:rPr>
            </w:pPr>
            <w:r>
              <w:rPr>
                <w:rFonts w:cstheme="minorHAnsi"/>
                <w:sz w:val="20"/>
                <w:szCs w:val="20"/>
              </w:rPr>
              <w:t>8</w:t>
            </w:r>
            <w:r w:rsidR="004C753A" w:rsidRPr="00E8377F">
              <w:rPr>
                <w:rFonts w:cstheme="minorHAnsi"/>
                <w:sz w:val="20"/>
                <w:szCs w:val="20"/>
              </w:rPr>
              <w:t>/</w:t>
            </w:r>
            <w:r w:rsidR="004C753A">
              <w:rPr>
                <w:rFonts w:cstheme="minorHAnsi"/>
                <w:sz w:val="20"/>
                <w:szCs w:val="20"/>
              </w:rPr>
              <w:t>7</w:t>
            </w:r>
            <w:r w:rsidR="006F403C">
              <w:rPr>
                <w:rFonts w:cstheme="minorHAnsi"/>
                <w:sz w:val="20"/>
                <w:szCs w:val="20"/>
              </w:rPr>
              <w:t>.5</w:t>
            </w:r>
            <w:r w:rsidR="004C753A" w:rsidRPr="00E8377F">
              <w:rPr>
                <w:rFonts w:cstheme="minorHAnsi"/>
                <w:sz w:val="20"/>
                <w:szCs w:val="20"/>
              </w:rPr>
              <w:t>%</w:t>
            </w:r>
          </w:p>
        </w:tc>
      </w:tr>
      <w:tr w:rsidR="004C753A" w:rsidRPr="00E8377F" w14:paraId="63E91951" w14:textId="77777777" w:rsidTr="00F51C13">
        <w:trPr>
          <w:trHeight w:val="1185"/>
        </w:trPr>
        <w:tc>
          <w:tcPr>
            <w:tcW w:w="4673" w:type="dxa"/>
          </w:tcPr>
          <w:p w14:paraId="11086DF5" w14:textId="77777777" w:rsidR="004C753A" w:rsidRPr="00E8377F" w:rsidRDefault="004C753A" w:rsidP="004C753A">
            <w:pPr>
              <w:rPr>
                <w:rFonts w:cstheme="minorHAnsi"/>
                <w:sz w:val="20"/>
                <w:szCs w:val="20"/>
              </w:rPr>
            </w:pPr>
            <w:r w:rsidRPr="00E8377F">
              <w:rPr>
                <w:rFonts w:cstheme="minorHAnsi"/>
                <w:color w:val="000000"/>
                <w:sz w:val="20"/>
                <w:szCs w:val="20"/>
              </w:rPr>
              <w:t>Uz mājām izrakstīto pacientu, kuri atkārtoti hospitalizēti tajā pašā vai nākamajā dienā (neieskaitot pacientus, kuriem nākamā hospitalizācija ir aprūpe vai rehabilitācija), skaits un īpatsvars, %</w:t>
            </w:r>
          </w:p>
        </w:tc>
        <w:tc>
          <w:tcPr>
            <w:tcW w:w="1559" w:type="dxa"/>
            <w:vAlign w:val="center"/>
          </w:tcPr>
          <w:p w14:paraId="4B236D58" w14:textId="4272C527" w:rsidR="004C753A" w:rsidRPr="00E8377F" w:rsidRDefault="00B34EAF" w:rsidP="004C753A">
            <w:pPr>
              <w:jc w:val="center"/>
              <w:rPr>
                <w:rFonts w:cstheme="minorHAnsi"/>
                <w:sz w:val="20"/>
                <w:szCs w:val="20"/>
              </w:rPr>
            </w:pPr>
            <w:r>
              <w:rPr>
                <w:rFonts w:cstheme="minorHAnsi"/>
                <w:sz w:val="20"/>
                <w:szCs w:val="20"/>
              </w:rPr>
              <w:t>6</w:t>
            </w:r>
            <w:r w:rsidR="004C753A" w:rsidRPr="00E8377F">
              <w:rPr>
                <w:rFonts w:cstheme="minorHAnsi"/>
                <w:sz w:val="20"/>
                <w:szCs w:val="20"/>
              </w:rPr>
              <w:t>/</w:t>
            </w:r>
            <w:r w:rsidR="004C753A">
              <w:rPr>
                <w:rFonts w:cstheme="minorHAnsi"/>
                <w:sz w:val="20"/>
                <w:szCs w:val="20"/>
              </w:rPr>
              <w:t>0.</w:t>
            </w:r>
            <w:r>
              <w:rPr>
                <w:rFonts w:cstheme="minorHAnsi"/>
                <w:sz w:val="20"/>
                <w:szCs w:val="20"/>
              </w:rPr>
              <w:t>77</w:t>
            </w:r>
            <w:r w:rsidR="004C753A" w:rsidRPr="00E8377F">
              <w:rPr>
                <w:rFonts w:cstheme="minorHAnsi"/>
                <w:sz w:val="20"/>
                <w:szCs w:val="20"/>
              </w:rPr>
              <w:t>%</w:t>
            </w:r>
          </w:p>
        </w:tc>
        <w:tc>
          <w:tcPr>
            <w:tcW w:w="1586" w:type="dxa"/>
            <w:vAlign w:val="center"/>
          </w:tcPr>
          <w:p w14:paraId="3C7DDC03" w14:textId="59435722" w:rsidR="004C753A" w:rsidRPr="00E8377F" w:rsidRDefault="004C753A" w:rsidP="004C753A">
            <w:pPr>
              <w:jc w:val="center"/>
              <w:rPr>
                <w:rFonts w:cstheme="minorHAnsi"/>
                <w:sz w:val="20"/>
                <w:szCs w:val="20"/>
              </w:rPr>
            </w:pPr>
            <w:r>
              <w:rPr>
                <w:rFonts w:cstheme="minorHAnsi"/>
                <w:sz w:val="20"/>
                <w:szCs w:val="20"/>
              </w:rPr>
              <w:t>2</w:t>
            </w:r>
            <w:r w:rsidR="00D46E2B">
              <w:rPr>
                <w:rFonts w:cstheme="minorHAnsi"/>
                <w:sz w:val="20"/>
                <w:szCs w:val="20"/>
              </w:rPr>
              <w:t>2</w:t>
            </w:r>
            <w:r w:rsidRPr="00E8377F">
              <w:rPr>
                <w:rFonts w:cstheme="minorHAnsi"/>
                <w:sz w:val="20"/>
                <w:szCs w:val="20"/>
              </w:rPr>
              <w:t>/</w:t>
            </w:r>
            <w:r w:rsidR="00D46E2B">
              <w:rPr>
                <w:rFonts w:cstheme="minorHAnsi"/>
                <w:sz w:val="20"/>
                <w:szCs w:val="20"/>
              </w:rPr>
              <w:t>0.71</w:t>
            </w:r>
            <w:r w:rsidRPr="00E8377F">
              <w:rPr>
                <w:rFonts w:cstheme="minorHAnsi"/>
                <w:sz w:val="20"/>
                <w:szCs w:val="20"/>
              </w:rPr>
              <w:t>%</w:t>
            </w:r>
            <w:r>
              <w:rPr>
                <w:rFonts w:cstheme="minorHAnsi"/>
                <w:sz w:val="20"/>
                <w:szCs w:val="20"/>
              </w:rPr>
              <w:t xml:space="preserve"> (gada rādītājs)</w:t>
            </w:r>
          </w:p>
        </w:tc>
        <w:tc>
          <w:tcPr>
            <w:tcW w:w="1249" w:type="dxa"/>
            <w:vAlign w:val="center"/>
          </w:tcPr>
          <w:p w14:paraId="436E3362" w14:textId="0CDA55A5" w:rsidR="004C753A" w:rsidRPr="00E8377F" w:rsidRDefault="00827391" w:rsidP="004C753A">
            <w:pPr>
              <w:jc w:val="center"/>
              <w:rPr>
                <w:rFonts w:cstheme="minorHAnsi"/>
                <w:sz w:val="20"/>
                <w:szCs w:val="20"/>
              </w:rPr>
            </w:pPr>
            <w:r>
              <w:rPr>
                <w:rFonts w:cstheme="minorHAnsi"/>
                <w:sz w:val="20"/>
                <w:szCs w:val="20"/>
              </w:rPr>
              <w:t>8</w:t>
            </w:r>
            <w:r w:rsidR="004C753A" w:rsidRPr="00E8377F">
              <w:rPr>
                <w:rFonts w:cstheme="minorHAnsi"/>
                <w:sz w:val="20"/>
                <w:szCs w:val="20"/>
              </w:rPr>
              <w:t>/</w:t>
            </w:r>
            <w:r w:rsidR="00B6058D">
              <w:rPr>
                <w:rFonts w:cstheme="minorHAnsi"/>
                <w:sz w:val="20"/>
                <w:szCs w:val="20"/>
              </w:rPr>
              <w:t>1</w:t>
            </w:r>
            <w:r w:rsidR="004C753A" w:rsidRPr="00E8377F">
              <w:rPr>
                <w:rFonts w:cstheme="minorHAnsi"/>
                <w:sz w:val="20"/>
                <w:szCs w:val="20"/>
              </w:rPr>
              <w:t>%</w:t>
            </w:r>
          </w:p>
        </w:tc>
      </w:tr>
      <w:tr w:rsidR="004C753A" w:rsidRPr="00E8377F" w14:paraId="03066FF3" w14:textId="77777777" w:rsidTr="00F51C13">
        <w:trPr>
          <w:trHeight w:val="220"/>
        </w:trPr>
        <w:tc>
          <w:tcPr>
            <w:tcW w:w="4673" w:type="dxa"/>
          </w:tcPr>
          <w:p w14:paraId="007D2992" w14:textId="77777777" w:rsidR="004C753A" w:rsidRPr="00E8377F" w:rsidRDefault="004C753A" w:rsidP="004C753A">
            <w:pPr>
              <w:rPr>
                <w:rFonts w:cstheme="minorHAnsi"/>
                <w:sz w:val="20"/>
                <w:szCs w:val="20"/>
              </w:rPr>
            </w:pPr>
            <w:r w:rsidRPr="00E8377F">
              <w:rPr>
                <w:rFonts w:cstheme="minorHAnsi"/>
                <w:color w:val="000000"/>
                <w:sz w:val="20"/>
                <w:szCs w:val="20"/>
              </w:rPr>
              <w:t>Letalitāte stacionārā, %</w:t>
            </w:r>
          </w:p>
        </w:tc>
        <w:tc>
          <w:tcPr>
            <w:tcW w:w="1559" w:type="dxa"/>
            <w:vAlign w:val="center"/>
          </w:tcPr>
          <w:p w14:paraId="35110959" w14:textId="1E673703" w:rsidR="004C753A" w:rsidRPr="00E8377F" w:rsidRDefault="004C753A" w:rsidP="004C753A">
            <w:pPr>
              <w:jc w:val="center"/>
              <w:rPr>
                <w:rFonts w:cstheme="minorHAnsi"/>
                <w:sz w:val="20"/>
                <w:szCs w:val="20"/>
              </w:rPr>
            </w:pPr>
            <w:r>
              <w:rPr>
                <w:rFonts w:cstheme="minorHAnsi"/>
                <w:sz w:val="20"/>
                <w:szCs w:val="20"/>
              </w:rPr>
              <w:t>0.</w:t>
            </w:r>
            <w:r w:rsidR="00B34EAF">
              <w:rPr>
                <w:rFonts w:cstheme="minorHAnsi"/>
                <w:sz w:val="20"/>
                <w:szCs w:val="20"/>
              </w:rPr>
              <w:t>13</w:t>
            </w:r>
          </w:p>
        </w:tc>
        <w:tc>
          <w:tcPr>
            <w:tcW w:w="1586" w:type="dxa"/>
            <w:vAlign w:val="center"/>
          </w:tcPr>
          <w:p w14:paraId="7ACABC42" w14:textId="1396CCDF" w:rsidR="004C753A" w:rsidRPr="00E8377F" w:rsidRDefault="004C753A" w:rsidP="004C753A">
            <w:pPr>
              <w:jc w:val="center"/>
              <w:rPr>
                <w:rFonts w:cstheme="minorHAnsi"/>
                <w:sz w:val="20"/>
                <w:szCs w:val="20"/>
              </w:rPr>
            </w:pPr>
            <w:r w:rsidRPr="00E8377F">
              <w:rPr>
                <w:rFonts w:cstheme="minorHAnsi"/>
                <w:sz w:val="20"/>
                <w:szCs w:val="20"/>
              </w:rPr>
              <w:t>0.</w:t>
            </w:r>
            <w:r>
              <w:rPr>
                <w:rFonts w:cstheme="minorHAnsi"/>
                <w:sz w:val="20"/>
                <w:szCs w:val="20"/>
              </w:rPr>
              <w:t>2</w:t>
            </w:r>
            <w:r w:rsidR="008D1AFC">
              <w:rPr>
                <w:rFonts w:cstheme="minorHAnsi"/>
                <w:sz w:val="20"/>
                <w:szCs w:val="20"/>
              </w:rPr>
              <w:t>3</w:t>
            </w:r>
          </w:p>
        </w:tc>
        <w:tc>
          <w:tcPr>
            <w:tcW w:w="1249" w:type="dxa"/>
            <w:vAlign w:val="center"/>
          </w:tcPr>
          <w:p w14:paraId="4EA53174" w14:textId="23E49240" w:rsidR="004C753A" w:rsidRPr="00E8377F" w:rsidRDefault="004C753A" w:rsidP="004C753A">
            <w:pPr>
              <w:jc w:val="center"/>
              <w:rPr>
                <w:rFonts w:cstheme="minorHAnsi"/>
                <w:color w:val="FF0000"/>
                <w:sz w:val="20"/>
                <w:szCs w:val="20"/>
              </w:rPr>
            </w:pPr>
            <w:r>
              <w:rPr>
                <w:rFonts w:cstheme="minorHAnsi"/>
                <w:sz w:val="20"/>
                <w:szCs w:val="20"/>
              </w:rPr>
              <w:t>0.1</w:t>
            </w:r>
            <w:r w:rsidR="000F3B63">
              <w:rPr>
                <w:rFonts w:cstheme="minorHAnsi"/>
                <w:sz w:val="20"/>
                <w:szCs w:val="20"/>
              </w:rPr>
              <w:t>4</w:t>
            </w:r>
          </w:p>
        </w:tc>
      </w:tr>
    </w:tbl>
    <w:p w14:paraId="2EC22818" w14:textId="77777777" w:rsidR="00433243" w:rsidRDefault="00433243" w:rsidP="008D79D0">
      <w:pPr>
        <w:spacing w:after="0"/>
        <w:rPr>
          <w:rFonts w:cstheme="minorHAnsi"/>
          <w:b/>
          <w:bCs/>
        </w:rPr>
      </w:pPr>
    </w:p>
    <w:p w14:paraId="2436B7CB" w14:textId="77777777" w:rsidR="009E3C2F" w:rsidRDefault="009E3C2F" w:rsidP="008D79D0">
      <w:pPr>
        <w:spacing w:after="0"/>
        <w:rPr>
          <w:rFonts w:cstheme="minorHAnsi"/>
          <w:b/>
          <w:bCs/>
        </w:rPr>
      </w:pPr>
    </w:p>
    <w:p w14:paraId="0A0B9716" w14:textId="1D60C372" w:rsidR="008728A3" w:rsidRDefault="008728A3" w:rsidP="008D79D0">
      <w:pPr>
        <w:spacing w:after="0"/>
        <w:rPr>
          <w:rFonts w:cstheme="minorHAnsi"/>
          <w:b/>
          <w:bCs/>
        </w:rPr>
      </w:pPr>
      <w:r>
        <w:rPr>
          <w:rFonts w:cstheme="minorHAnsi"/>
          <w:b/>
          <w:bCs/>
        </w:rPr>
        <w:t>Medicīniskā rehabilitācija</w:t>
      </w:r>
    </w:p>
    <w:p w14:paraId="7105CBF3" w14:textId="4A7B3E2A" w:rsidR="009E3C2F" w:rsidRPr="00106955" w:rsidRDefault="009E3C2F" w:rsidP="00106955">
      <w:pPr>
        <w:spacing w:before="100" w:beforeAutospacing="1" w:after="0" w:line="240" w:lineRule="auto"/>
        <w:jc w:val="both"/>
        <w:rPr>
          <w:rFonts w:cstheme="minorHAnsi"/>
        </w:rPr>
      </w:pPr>
      <w:r w:rsidRPr="00106955">
        <w:rPr>
          <w:rFonts w:cstheme="minorHAnsi"/>
        </w:rPr>
        <w:t xml:space="preserve">Pārskata periodā psihiatrisko medicīniskās rehabilitācijas plāns  izstrādāts un NVD apmaksāta </w:t>
      </w:r>
      <w:r w:rsidR="00A75B43">
        <w:rPr>
          <w:rFonts w:cstheme="minorHAnsi"/>
        </w:rPr>
        <w:t>298</w:t>
      </w:r>
      <w:r w:rsidRPr="00106955">
        <w:rPr>
          <w:rFonts w:cstheme="minorHAnsi"/>
        </w:rPr>
        <w:t xml:space="preserve"> pacientu rehabilitācija, tas ir </w:t>
      </w:r>
      <w:r w:rsidR="00A75B43">
        <w:rPr>
          <w:rFonts w:cstheme="minorHAnsi"/>
        </w:rPr>
        <w:t>51</w:t>
      </w:r>
      <w:r w:rsidRPr="00106955">
        <w:rPr>
          <w:rFonts w:cstheme="minorHAnsi"/>
        </w:rPr>
        <w:t>% no visiem diennakts stacionārā ārstētajiem pacientiem psihiatrijā, salīdzinoši</w:t>
      </w:r>
      <w:r w:rsidR="005D2A90">
        <w:rPr>
          <w:rFonts w:cstheme="minorHAnsi"/>
        </w:rPr>
        <w:t xml:space="preserve"> 2025.gadā 40%</w:t>
      </w:r>
      <w:r w:rsidR="00A75B43">
        <w:rPr>
          <w:rFonts w:cstheme="minorHAnsi"/>
        </w:rPr>
        <w:t>;</w:t>
      </w:r>
      <w:r w:rsidRPr="00106955">
        <w:rPr>
          <w:rFonts w:cstheme="minorHAnsi"/>
        </w:rPr>
        <w:t xml:space="preserve"> 202</w:t>
      </w:r>
      <w:r w:rsidR="00106955" w:rsidRPr="00106955">
        <w:rPr>
          <w:rFonts w:cstheme="minorHAnsi"/>
        </w:rPr>
        <w:t>4</w:t>
      </w:r>
      <w:r w:rsidRPr="00106955">
        <w:rPr>
          <w:rFonts w:cstheme="minorHAnsi"/>
        </w:rPr>
        <w:t>.</w:t>
      </w:r>
      <w:r w:rsidR="009833BE" w:rsidRPr="00106955">
        <w:rPr>
          <w:rFonts w:cstheme="minorHAnsi"/>
        </w:rPr>
        <w:t xml:space="preserve">gadā </w:t>
      </w:r>
      <w:r w:rsidR="00106955" w:rsidRPr="00106955">
        <w:rPr>
          <w:rFonts w:cstheme="minorHAnsi"/>
        </w:rPr>
        <w:t>39</w:t>
      </w:r>
      <w:r w:rsidR="009833BE" w:rsidRPr="00106955">
        <w:rPr>
          <w:rFonts w:cstheme="minorHAnsi"/>
        </w:rPr>
        <w:t>%</w:t>
      </w:r>
      <w:r w:rsidRPr="00106955">
        <w:rPr>
          <w:rFonts w:cstheme="minorHAnsi"/>
        </w:rPr>
        <w:t xml:space="preserve">. Rehabilitācijas kursa plāna mērķi sasnieguši </w:t>
      </w:r>
      <w:r w:rsidR="00591EE1">
        <w:rPr>
          <w:rFonts w:cstheme="minorHAnsi"/>
        </w:rPr>
        <w:t>184</w:t>
      </w:r>
      <w:r w:rsidRPr="00106955">
        <w:rPr>
          <w:rFonts w:cstheme="minorHAnsi"/>
        </w:rPr>
        <w:t xml:space="preserve"> pacient</w:t>
      </w:r>
      <w:r w:rsidR="00106955" w:rsidRPr="00106955">
        <w:rPr>
          <w:rFonts w:cstheme="minorHAnsi"/>
        </w:rPr>
        <w:t>i</w:t>
      </w:r>
      <w:r w:rsidRPr="00106955">
        <w:rPr>
          <w:rFonts w:cstheme="minorHAnsi"/>
        </w:rPr>
        <w:t xml:space="preserve">, </w:t>
      </w:r>
      <w:r w:rsidR="00591EE1">
        <w:rPr>
          <w:rFonts w:cstheme="minorHAnsi"/>
        </w:rPr>
        <w:t>46</w:t>
      </w:r>
      <w:r w:rsidRPr="00106955">
        <w:rPr>
          <w:rFonts w:cstheme="minorHAnsi"/>
        </w:rPr>
        <w:t xml:space="preserve"> pacientiem rehabilitācijas kursa mērķis sasniegts daļēji, </w:t>
      </w:r>
      <w:r w:rsidR="00106955" w:rsidRPr="00106955">
        <w:rPr>
          <w:rFonts w:cstheme="minorHAnsi"/>
        </w:rPr>
        <w:t>1</w:t>
      </w:r>
      <w:r w:rsidRPr="00106955">
        <w:rPr>
          <w:rFonts w:cstheme="minorHAnsi"/>
        </w:rPr>
        <w:t xml:space="preserve"> pacientiem rehabilitācijas kursa mērķis nav sasniegts un </w:t>
      </w:r>
      <w:r w:rsidR="00987D6D">
        <w:rPr>
          <w:rFonts w:cstheme="minorHAnsi"/>
        </w:rPr>
        <w:t>3</w:t>
      </w:r>
      <w:r w:rsidR="00106955" w:rsidRPr="00106955">
        <w:rPr>
          <w:rFonts w:cstheme="minorHAnsi"/>
        </w:rPr>
        <w:t>2</w:t>
      </w:r>
      <w:r w:rsidRPr="00106955">
        <w:rPr>
          <w:rFonts w:cstheme="minorHAnsi"/>
        </w:rPr>
        <w:t xml:space="preserve"> pacient</w:t>
      </w:r>
      <w:r w:rsidR="00106955" w:rsidRPr="00106955">
        <w:rPr>
          <w:rFonts w:cstheme="minorHAnsi"/>
        </w:rPr>
        <w:t>i</w:t>
      </w:r>
      <w:r w:rsidRPr="00106955">
        <w:rPr>
          <w:rFonts w:cstheme="minorHAnsi"/>
        </w:rPr>
        <w:t xml:space="preserve"> rehabilitāciju </w:t>
      </w:r>
      <w:r w:rsidR="00106955" w:rsidRPr="00106955">
        <w:rPr>
          <w:rFonts w:cstheme="minorHAnsi"/>
        </w:rPr>
        <w:t>pārtraukuši</w:t>
      </w:r>
      <w:r w:rsidRPr="00106955">
        <w:rPr>
          <w:rFonts w:cstheme="minorHAnsi"/>
        </w:rPr>
        <w:t xml:space="preserve">. No visiem rehabilitācijas pakalpojumu saņēmušiem </w:t>
      </w:r>
      <w:r w:rsidR="00987D6D">
        <w:rPr>
          <w:rFonts w:cstheme="minorHAnsi"/>
        </w:rPr>
        <w:t>81</w:t>
      </w:r>
      <w:r w:rsidRPr="00106955">
        <w:rPr>
          <w:rFonts w:cstheme="minorHAnsi"/>
        </w:rPr>
        <w:t xml:space="preserve"> pacient</w:t>
      </w:r>
      <w:r w:rsidR="00052BAE" w:rsidRPr="00106955">
        <w:rPr>
          <w:rFonts w:cstheme="minorHAnsi"/>
        </w:rPr>
        <w:t>i</w:t>
      </w:r>
      <w:r w:rsidRPr="00106955">
        <w:rPr>
          <w:rFonts w:cstheme="minorHAnsi"/>
        </w:rPr>
        <w:t xml:space="preserve"> ir bērni</w:t>
      </w:r>
      <w:r w:rsidR="004154BF" w:rsidRPr="00106955">
        <w:rPr>
          <w:rFonts w:cstheme="minorHAnsi"/>
        </w:rPr>
        <w:t xml:space="preserve">, tas ir </w:t>
      </w:r>
      <w:r w:rsidR="00987D6D">
        <w:rPr>
          <w:rFonts w:cstheme="minorHAnsi"/>
        </w:rPr>
        <w:t xml:space="preserve">88% ( 2025.gadā </w:t>
      </w:r>
      <w:r w:rsidR="004154BF" w:rsidRPr="00106955">
        <w:rPr>
          <w:rFonts w:cstheme="minorHAnsi"/>
        </w:rPr>
        <w:t>6</w:t>
      </w:r>
      <w:r w:rsidR="00106955" w:rsidRPr="00106955">
        <w:rPr>
          <w:rFonts w:cstheme="minorHAnsi"/>
        </w:rPr>
        <w:t>5</w:t>
      </w:r>
      <w:r w:rsidR="004154BF" w:rsidRPr="00106955">
        <w:rPr>
          <w:rFonts w:cstheme="minorHAnsi"/>
        </w:rPr>
        <w:t xml:space="preserve"> %</w:t>
      </w:r>
      <w:r w:rsidR="00987D6D">
        <w:rPr>
          <w:rFonts w:cstheme="minorHAnsi"/>
        </w:rPr>
        <w:t>)</w:t>
      </w:r>
      <w:r w:rsidR="004154BF" w:rsidRPr="00106955">
        <w:rPr>
          <w:rFonts w:cstheme="minorHAnsi"/>
        </w:rPr>
        <w:t xml:space="preserve"> no visiem stacionētajiem </w:t>
      </w:r>
      <w:r w:rsidR="00063859" w:rsidRPr="00106955">
        <w:rPr>
          <w:rFonts w:cstheme="minorHAnsi"/>
        </w:rPr>
        <w:t xml:space="preserve">bērniem </w:t>
      </w:r>
      <w:r w:rsidR="004154BF" w:rsidRPr="00106955">
        <w:rPr>
          <w:rFonts w:cstheme="minorHAnsi"/>
        </w:rPr>
        <w:t>pārskata periodā</w:t>
      </w:r>
      <w:r w:rsidRPr="00106955">
        <w:rPr>
          <w:rFonts w:cstheme="minorHAnsi"/>
        </w:rPr>
        <w:t>.</w:t>
      </w:r>
    </w:p>
    <w:p w14:paraId="066E1BFF" w14:textId="67A29162" w:rsidR="009E3C2F" w:rsidRPr="00597BD6" w:rsidRDefault="009E3C2F" w:rsidP="009E3C2F">
      <w:pPr>
        <w:spacing w:before="100" w:beforeAutospacing="1" w:after="0" w:line="240" w:lineRule="auto"/>
        <w:jc w:val="both"/>
        <w:rPr>
          <w:rFonts w:cstheme="minorHAnsi"/>
        </w:rPr>
      </w:pPr>
      <w:r w:rsidRPr="00D04CE4">
        <w:rPr>
          <w:rFonts w:cstheme="minorHAnsi"/>
        </w:rPr>
        <w:t>Par rehabilitāciju psihiatriskā profila pacientiem period</w:t>
      </w:r>
      <w:r>
        <w:rPr>
          <w:rFonts w:cstheme="minorHAnsi"/>
        </w:rPr>
        <w:t>ā</w:t>
      </w:r>
      <w:r w:rsidRPr="00D04CE4">
        <w:rPr>
          <w:rFonts w:cstheme="minorHAnsi"/>
        </w:rPr>
        <w:t xml:space="preserve"> no 01.202</w:t>
      </w:r>
      <w:r w:rsidR="00000319">
        <w:rPr>
          <w:rFonts w:cstheme="minorHAnsi"/>
        </w:rPr>
        <w:t>6</w:t>
      </w:r>
      <w:r w:rsidRPr="00D04CE4">
        <w:rPr>
          <w:rFonts w:cstheme="minorHAnsi"/>
        </w:rPr>
        <w:t xml:space="preserve">. līdz </w:t>
      </w:r>
      <w:r w:rsidR="00666D0B">
        <w:rPr>
          <w:rFonts w:cstheme="minorHAnsi"/>
        </w:rPr>
        <w:t>02.202</w:t>
      </w:r>
      <w:r w:rsidR="00000319">
        <w:rPr>
          <w:rFonts w:cstheme="minorHAnsi"/>
        </w:rPr>
        <w:t>6</w:t>
      </w:r>
      <w:r w:rsidRPr="00D04CE4">
        <w:rPr>
          <w:rFonts w:cstheme="minorHAnsi"/>
        </w:rPr>
        <w:t>. s</w:t>
      </w:r>
      <w:r w:rsidR="00666D0B">
        <w:rPr>
          <w:rFonts w:cstheme="minorHAnsi"/>
        </w:rPr>
        <w:t>a</w:t>
      </w:r>
      <w:r w:rsidR="00CA54DB">
        <w:rPr>
          <w:rFonts w:cstheme="minorHAnsi"/>
        </w:rPr>
        <w:t>ņ</w:t>
      </w:r>
      <w:r w:rsidR="00666D0B">
        <w:rPr>
          <w:rFonts w:cstheme="minorHAnsi"/>
        </w:rPr>
        <w:t xml:space="preserve">emts NVD finansējums </w:t>
      </w:r>
      <w:r w:rsidRPr="00D04CE4">
        <w:rPr>
          <w:rFonts w:cstheme="minorHAnsi"/>
        </w:rPr>
        <w:t xml:space="preserve"> </w:t>
      </w:r>
      <w:r w:rsidR="00B3674D">
        <w:rPr>
          <w:rFonts w:cstheme="minorHAnsi"/>
        </w:rPr>
        <w:t>87 194.30</w:t>
      </w:r>
      <w:r w:rsidRPr="00D04CE4">
        <w:rPr>
          <w:rFonts w:cstheme="minorHAnsi"/>
        </w:rPr>
        <w:t xml:space="preserve"> euro (</w:t>
      </w:r>
      <w:r w:rsidR="00000319">
        <w:rPr>
          <w:rFonts w:cstheme="minorHAnsi"/>
        </w:rPr>
        <w:t xml:space="preserve">2025.gadā 53 074.31 euro; </w:t>
      </w:r>
      <w:r w:rsidR="009C62F4">
        <w:rPr>
          <w:rFonts w:cstheme="minorHAnsi"/>
        </w:rPr>
        <w:t xml:space="preserve">2024.gadā 60 890.20 euro; </w:t>
      </w:r>
      <w:r w:rsidR="0043196D">
        <w:rPr>
          <w:rFonts w:cstheme="minorHAnsi"/>
        </w:rPr>
        <w:t xml:space="preserve">2023.gadā </w:t>
      </w:r>
      <w:r w:rsidR="00CA54DB">
        <w:rPr>
          <w:rFonts w:cstheme="minorHAnsi"/>
        </w:rPr>
        <w:t xml:space="preserve">49 891.92 euro; </w:t>
      </w:r>
      <w:r w:rsidRPr="00D04CE4">
        <w:rPr>
          <w:rFonts w:cstheme="minorHAnsi"/>
        </w:rPr>
        <w:t xml:space="preserve"> 2022.gadā </w:t>
      </w:r>
      <w:r w:rsidR="005B6E67">
        <w:rPr>
          <w:rFonts w:cstheme="minorHAnsi"/>
        </w:rPr>
        <w:t>44 549.94</w:t>
      </w:r>
      <w:r w:rsidRPr="00D04CE4">
        <w:rPr>
          <w:rFonts w:cstheme="minorHAnsi"/>
        </w:rPr>
        <w:t xml:space="preserve"> euro)</w:t>
      </w:r>
      <w:r w:rsidR="00446006">
        <w:rPr>
          <w:rFonts w:cstheme="minorHAnsi"/>
        </w:rPr>
        <w:t xml:space="preserve">. </w:t>
      </w:r>
      <w:r w:rsidR="00E4494A">
        <w:rPr>
          <w:rFonts w:cstheme="minorHAnsi"/>
        </w:rPr>
        <w:t>Par pārskata periodā ietilpstošo 03.202</w:t>
      </w:r>
      <w:r w:rsidR="008E7013">
        <w:rPr>
          <w:rFonts w:cstheme="minorHAnsi"/>
        </w:rPr>
        <w:t>6</w:t>
      </w:r>
      <w:r w:rsidR="00E4494A">
        <w:rPr>
          <w:rFonts w:cstheme="minorHAnsi"/>
        </w:rPr>
        <w:t xml:space="preserve">. NVD aprēķinu un samaksu veic </w:t>
      </w:r>
      <w:r w:rsidR="00446006">
        <w:rPr>
          <w:rFonts w:cstheme="minorHAnsi"/>
        </w:rPr>
        <w:t>tikai pie norēķina par sniegtajiem veselības aprūpes pakalpojumiem 04.202</w:t>
      </w:r>
      <w:r w:rsidR="008E7013">
        <w:rPr>
          <w:rFonts w:cstheme="minorHAnsi"/>
        </w:rPr>
        <w:t>6.</w:t>
      </w:r>
    </w:p>
    <w:p w14:paraId="7EF3FB8A" w14:textId="77777777" w:rsidR="009E3C2F" w:rsidRDefault="009E3C2F" w:rsidP="008D79D0">
      <w:pPr>
        <w:spacing w:after="0"/>
        <w:rPr>
          <w:rFonts w:cstheme="minorHAnsi"/>
          <w:b/>
          <w:bCs/>
        </w:rPr>
      </w:pPr>
    </w:p>
    <w:p w14:paraId="7EE89E0F" w14:textId="77777777" w:rsidR="005207F9" w:rsidRPr="005207F9" w:rsidRDefault="005207F9" w:rsidP="005207F9">
      <w:pPr>
        <w:spacing w:before="100" w:beforeAutospacing="1" w:after="100" w:afterAutospacing="1" w:line="240" w:lineRule="auto"/>
        <w:jc w:val="both"/>
        <w:rPr>
          <w:rFonts w:eastAsia="Times New Roman" w:cstheme="minorHAnsi"/>
          <w:lang w:eastAsia="lv-LV"/>
        </w:rPr>
      </w:pPr>
      <w:r w:rsidRPr="005207F9">
        <w:rPr>
          <w:rFonts w:eastAsia="Times New Roman" w:cstheme="minorHAnsi"/>
          <w:lang w:eastAsia="lv-LV"/>
        </w:rPr>
        <w:t>Medicīniskās rehabilitācijas nodaļas multidisciplinārā komanda nodrošina plašu pakalpojumu klāstu dažādām pacientu grupām:</w:t>
      </w:r>
    </w:p>
    <w:p w14:paraId="3D0499F7" w14:textId="77777777" w:rsidR="005207F9" w:rsidRPr="005207F9" w:rsidRDefault="005207F9" w:rsidP="005207F9">
      <w:pPr>
        <w:numPr>
          <w:ilvl w:val="0"/>
          <w:numId w:val="16"/>
        </w:numPr>
        <w:spacing w:before="100" w:beforeAutospacing="1" w:after="100" w:afterAutospacing="1" w:line="240" w:lineRule="auto"/>
        <w:jc w:val="both"/>
        <w:rPr>
          <w:rFonts w:eastAsia="Times New Roman" w:cstheme="minorHAnsi"/>
          <w:lang w:eastAsia="lv-LV"/>
        </w:rPr>
      </w:pPr>
      <w:r w:rsidRPr="005207F9">
        <w:rPr>
          <w:rFonts w:eastAsia="Times New Roman" w:cstheme="minorHAnsi"/>
          <w:lang w:eastAsia="lv-LV"/>
        </w:rPr>
        <w:t>Stacionārā rehabilitācija: bērniem un pieaugušajiem.</w:t>
      </w:r>
    </w:p>
    <w:p w14:paraId="74935D96" w14:textId="77777777" w:rsidR="005207F9" w:rsidRPr="005207F9" w:rsidRDefault="005207F9" w:rsidP="005207F9">
      <w:pPr>
        <w:numPr>
          <w:ilvl w:val="0"/>
          <w:numId w:val="16"/>
        </w:numPr>
        <w:spacing w:before="100" w:beforeAutospacing="1" w:after="100" w:afterAutospacing="1" w:line="240" w:lineRule="auto"/>
        <w:jc w:val="both"/>
        <w:rPr>
          <w:rFonts w:eastAsia="Times New Roman" w:cstheme="minorHAnsi"/>
          <w:lang w:eastAsia="lv-LV"/>
        </w:rPr>
      </w:pPr>
      <w:r w:rsidRPr="005207F9">
        <w:rPr>
          <w:rFonts w:eastAsia="Times New Roman" w:cstheme="minorHAnsi"/>
          <w:lang w:eastAsia="lv-LV"/>
        </w:rPr>
        <w:t>Rehabilitācija dienas stacionārā: bērniem un pieaugušajiem.</w:t>
      </w:r>
    </w:p>
    <w:p w14:paraId="547A40EC" w14:textId="77777777" w:rsidR="005207F9" w:rsidRPr="005207F9" w:rsidRDefault="005207F9" w:rsidP="005207F9">
      <w:pPr>
        <w:numPr>
          <w:ilvl w:val="0"/>
          <w:numId w:val="16"/>
        </w:numPr>
        <w:spacing w:before="100" w:beforeAutospacing="1" w:after="100" w:afterAutospacing="1" w:line="240" w:lineRule="auto"/>
        <w:jc w:val="both"/>
        <w:rPr>
          <w:rFonts w:eastAsia="Times New Roman" w:cstheme="minorHAnsi"/>
          <w:lang w:eastAsia="lv-LV"/>
        </w:rPr>
      </w:pPr>
      <w:r w:rsidRPr="005207F9">
        <w:rPr>
          <w:rFonts w:eastAsia="Times New Roman" w:cstheme="minorHAnsi"/>
          <w:lang w:eastAsia="lv-LV"/>
        </w:rPr>
        <w:t>Ambulatorā rehabilitācija: valsts apmaksātā un maksas pakalpojumi.</w:t>
      </w:r>
    </w:p>
    <w:p w14:paraId="79748F6A" w14:textId="77777777" w:rsidR="005207F9" w:rsidRPr="005207F9" w:rsidRDefault="005207F9" w:rsidP="005207F9">
      <w:pPr>
        <w:spacing w:before="100" w:beforeAutospacing="1" w:after="100" w:afterAutospacing="1" w:line="240" w:lineRule="auto"/>
        <w:jc w:val="both"/>
        <w:rPr>
          <w:rFonts w:eastAsia="Times New Roman" w:cstheme="minorHAnsi"/>
          <w:lang w:eastAsia="lv-LV"/>
        </w:rPr>
      </w:pPr>
      <w:r w:rsidRPr="005207F9">
        <w:rPr>
          <w:rFonts w:eastAsia="Times New Roman" w:cstheme="minorHAnsi"/>
          <w:lang w:eastAsia="lv-LV"/>
        </w:rPr>
        <w:lastRenderedPageBreak/>
        <w:t>Multiprofesionālā rehabilitācijas komanda pakalpojumus sniedz individuāli un arī organizē dažāda veida grupu nodarbības:</w:t>
      </w:r>
    </w:p>
    <w:p w14:paraId="07AEDA82" w14:textId="77777777" w:rsidR="005207F9" w:rsidRPr="005207F9" w:rsidRDefault="005207F9" w:rsidP="005207F9">
      <w:pPr>
        <w:numPr>
          <w:ilvl w:val="0"/>
          <w:numId w:val="19"/>
        </w:numPr>
        <w:spacing w:before="100" w:beforeAutospacing="1" w:after="100" w:afterAutospacing="1" w:line="240" w:lineRule="auto"/>
        <w:jc w:val="both"/>
        <w:rPr>
          <w:rFonts w:eastAsia="Times New Roman" w:cstheme="minorHAnsi"/>
          <w:lang w:eastAsia="lv-LV"/>
        </w:rPr>
      </w:pPr>
      <w:r w:rsidRPr="005207F9">
        <w:rPr>
          <w:rFonts w:eastAsia="Times New Roman" w:cstheme="minorHAnsi"/>
          <w:lang w:eastAsia="lv-LV"/>
        </w:rPr>
        <w:t xml:space="preserve">Psihologu atbalsta grupas: pacientu emocionālajam atbalstam un psiholoģiskās labklājības veicināšanai.  Nodarbības tiek nodrošinātas neirožu nodaļai, </w:t>
      </w:r>
      <w:r w:rsidRPr="005207F9">
        <w:rPr>
          <w:rFonts w:cstheme="minorHAnsi"/>
        </w:rPr>
        <w:t xml:space="preserve">1. akūtās psihiatrijas nodaļai, 4. akūtās psihiatrijas nodaļai. </w:t>
      </w:r>
    </w:p>
    <w:p w14:paraId="5A017096" w14:textId="77777777" w:rsidR="005207F9" w:rsidRPr="005207F9" w:rsidRDefault="005207F9" w:rsidP="005207F9">
      <w:pPr>
        <w:numPr>
          <w:ilvl w:val="0"/>
          <w:numId w:val="19"/>
        </w:numPr>
        <w:spacing w:before="100" w:beforeAutospacing="1" w:after="100" w:afterAutospacing="1" w:line="240" w:lineRule="auto"/>
        <w:jc w:val="both"/>
        <w:rPr>
          <w:rFonts w:eastAsia="Times New Roman" w:cstheme="minorHAnsi"/>
          <w:lang w:eastAsia="lv-LV"/>
        </w:rPr>
      </w:pPr>
      <w:r w:rsidRPr="005207F9">
        <w:rPr>
          <w:rFonts w:eastAsia="Times New Roman" w:cstheme="minorHAnsi"/>
          <w:lang w:eastAsia="lv-LV"/>
        </w:rPr>
        <w:t>Fizioterapijas grupas: ietverot nūjošanas nodarbības, relaksācijas tehnikas, fiziskās aktivitātes grupās. Nodarbības tiek nodrošinātas neirožu nodaļai,  s</w:t>
      </w:r>
      <w:r w:rsidRPr="005207F9">
        <w:rPr>
          <w:rFonts w:cstheme="minorHAnsi"/>
        </w:rPr>
        <w:t xml:space="preserve">ubakūtās psihiatrijas nodaļai,  1. akūtās psihiatrijas nodaļai, 4. akūtās psihiatrijas nodaļai. </w:t>
      </w:r>
    </w:p>
    <w:p w14:paraId="04490FA6" w14:textId="77777777" w:rsidR="005207F9" w:rsidRPr="005207F9" w:rsidRDefault="005207F9" w:rsidP="005207F9">
      <w:pPr>
        <w:numPr>
          <w:ilvl w:val="0"/>
          <w:numId w:val="19"/>
        </w:numPr>
        <w:spacing w:before="100" w:beforeAutospacing="1" w:after="100" w:afterAutospacing="1" w:line="240" w:lineRule="auto"/>
        <w:jc w:val="both"/>
        <w:rPr>
          <w:rFonts w:eastAsia="Times New Roman" w:cstheme="minorHAnsi"/>
          <w:lang w:eastAsia="lv-LV"/>
        </w:rPr>
      </w:pPr>
      <w:r w:rsidRPr="005207F9">
        <w:rPr>
          <w:rFonts w:eastAsia="Times New Roman" w:cstheme="minorHAnsi"/>
          <w:lang w:eastAsia="lv-LV"/>
        </w:rPr>
        <w:t xml:space="preserve">Fiziskās aktivitātes pie sporta un fizisko aktivitāšu pulciņu audzinātāja: pacientiem tika izstrādāts nodarbību plāns, pielāgojot fiziskās aktivitātes no vidējas līdz augstas intensitātes slodzei un nodrošinot nodarbības atbilstoši katra pacienta vajadzībām un iespējām. Nodarbības tiek nodrošinātas </w:t>
      </w:r>
      <w:r w:rsidRPr="005207F9">
        <w:rPr>
          <w:rFonts w:cstheme="minorHAnsi"/>
        </w:rPr>
        <w:t xml:space="preserve">1., 2., 3., 4. akūtās psihiatrijas nodaļām, </w:t>
      </w:r>
      <w:r w:rsidRPr="005207F9">
        <w:rPr>
          <w:rFonts w:eastAsia="Times New Roman" w:cstheme="minorHAnsi"/>
          <w:lang w:eastAsia="lv-LV"/>
        </w:rPr>
        <w:t>neirožu nodaļai un s</w:t>
      </w:r>
      <w:r w:rsidRPr="005207F9">
        <w:rPr>
          <w:rFonts w:cstheme="minorHAnsi"/>
        </w:rPr>
        <w:t>ubakūtās psihiatrijas nodaļai.</w:t>
      </w:r>
    </w:p>
    <w:p w14:paraId="4FD0AF5E" w14:textId="77777777" w:rsidR="00253A58" w:rsidRPr="00FE249B" w:rsidRDefault="00253A58" w:rsidP="00253A58">
      <w:pPr>
        <w:jc w:val="both"/>
        <w:rPr>
          <w:rFonts w:eastAsia="Times New Roman" w:cstheme="minorHAnsi"/>
          <w:b/>
          <w:bCs/>
          <w:color w:val="1F1F1F"/>
          <w:lang w:eastAsia="lv-LV"/>
        </w:rPr>
      </w:pPr>
      <w:r w:rsidRPr="00FE249B">
        <w:rPr>
          <w:rFonts w:eastAsia="Times New Roman" w:cstheme="minorHAnsi"/>
          <w:b/>
          <w:bCs/>
          <w:color w:val="1F1F1F"/>
          <w:bdr w:val="none" w:sz="0" w:space="0" w:color="auto" w:frame="1"/>
          <w:lang w:eastAsia="lv-LV"/>
        </w:rPr>
        <w:t>1. Rehabilitācijas pakalpojumu attīstība un modernizācija</w:t>
      </w:r>
    </w:p>
    <w:p w14:paraId="13E4907A" w14:textId="77777777" w:rsidR="00253A58" w:rsidRPr="00FE249B" w:rsidRDefault="00253A58" w:rsidP="00253A58">
      <w:pPr>
        <w:jc w:val="both"/>
        <w:rPr>
          <w:rFonts w:eastAsia="Times New Roman" w:cstheme="minorHAnsi"/>
          <w:color w:val="1F1F1F"/>
          <w:lang w:eastAsia="lv-LV"/>
        </w:rPr>
      </w:pPr>
      <w:r w:rsidRPr="00FE249B">
        <w:rPr>
          <w:rFonts w:eastAsia="Times New Roman" w:cstheme="minorHAnsi"/>
          <w:color w:val="1F1F1F"/>
          <w:bdr w:val="none" w:sz="0" w:space="0" w:color="auto" w:frame="1"/>
          <w:lang w:eastAsia="lv-LV"/>
        </w:rPr>
        <w:t xml:space="preserve">Atskaites periodā </w:t>
      </w:r>
      <w:r>
        <w:rPr>
          <w:rFonts w:eastAsia="Times New Roman" w:cstheme="minorHAnsi"/>
          <w:color w:val="1F1F1F"/>
          <w:bdr w:val="none" w:sz="0" w:space="0" w:color="auto" w:frame="1"/>
          <w:lang w:eastAsia="lv-LV"/>
        </w:rPr>
        <w:t xml:space="preserve">Medicīniskās rehabilitācijas </w:t>
      </w:r>
      <w:r w:rsidRPr="00FE249B">
        <w:rPr>
          <w:rFonts w:eastAsia="Times New Roman" w:cstheme="minorHAnsi"/>
          <w:color w:val="1F1F1F"/>
          <w:bdr w:val="none" w:sz="0" w:space="0" w:color="auto" w:frame="1"/>
          <w:lang w:eastAsia="lv-LV"/>
        </w:rPr>
        <w:t xml:space="preserve">nodaļa turpināja nodrošināt stacionāro, dienas stacionāra un ambulatoro rehabilitāciju bērniem un pieaugušajiem. Galvenais </w:t>
      </w:r>
      <w:r>
        <w:rPr>
          <w:rFonts w:eastAsia="Times New Roman" w:cstheme="minorHAnsi"/>
          <w:color w:val="1F1F1F"/>
          <w:bdr w:val="none" w:sz="0" w:space="0" w:color="auto" w:frame="1"/>
          <w:lang w:eastAsia="lv-LV"/>
        </w:rPr>
        <w:t xml:space="preserve">uzsvars </w:t>
      </w:r>
      <w:r w:rsidRPr="00FE249B">
        <w:rPr>
          <w:rFonts w:eastAsia="Times New Roman" w:cstheme="minorHAnsi"/>
          <w:color w:val="1F1F1F"/>
          <w:bdr w:val="none" w:sz="0" w:space="0" w:color="auto" w:frame="1"/>
          <w:lang w:eastAsia="lv-LV"/>
        </w:rPr>
        <w:t>tika vērsts uz pakalpojumu kvalitātes un pieejamības uzlabošanu</w:t>
      </w:r>
      <w:r>
        <w:rPr>
          <w:rFonts w:eastAsia="Times New Roman" w:cstheme="minorHAnsi"/>
          <w:color w:val="1F1F1F"/>
          <w:bdr w:val="none" w:sz="0" w:space="0" w:color="auto" w:frame="1"/>
          <w:lang w:eastAsia="lv-LV"/>
        </w:rPr>
        <w:t>.</w:t>
      </w:r>
    </w:p>
    <w:p w14:paraId="42875E4E" w14:textId="77777777" w:rsidR="00253A58" w:rsidRPr="00FE249B" w:rsidRDefault="00253A58" w:rsidP="00253A58">
      <w:pPr>
        <w:pStyle w:val="Sarakstarindkopa"/>
        <w:numPr>
          <w:ilvl w:val="0"/>
          <w:numId w:val="23"/>
        </w:numPr>
        <w:spacing w:line="256" w:lineRule="auto"/>
        <w:jc w:val="both"/>
        <w:rPr>
          <w:rFonts w:eastAsia="Times New Roman" w:cstheme="minorHAnsi"/>
          <w:color w:val="1F1F1F"/>
          <w:lang w:eastAsia="lv-LV"/>
        </w:rPr>
      </w:pPr>
      <w:r w:rsidRPr="00FE249B">
        <w:rPr>
          <w:rFonts w:eastAsia="Times New Roman" w:cstheme="minorHAnsi"/>
          <w:b/>
          <w:bCs/>
          <w:color w:val="1F1F1F"/>
          <w:bdr w:val="none" w:sz="0" w:space="0" w:color="auto" w:frame="1"/>
          <w:lang w:eastAsia="lv-LV"/>
        </w:rPr>
        <w:t>Personāla kompetences pilnveide:</w:t>
      </w:r>
      <w:r w:rsidRPr="00FE249B">
        <w:rPr>
          <w:rFonts w:eastAsia="Times New Roman" w:cstheme="minorHAnsi"/>
          <w:color w:val="1F1F1F"/>
          <w:bdr w:val="none" w:sz="0" w:space="0" w:color="auto" w:frame="1"/>
          <w:lang w:eastAsia="lv-LV"/>
        </w:rPr>
        <w:t xml:space="preserve"> Janvārī tika organizētas divas praktiskās apmācības nodaļu medicīnas māsām par papildu terapiju veidiem un to integrāciju multidisciplinārajā procesā.</w:t>
      </w:r>
    </w:p>
    <w:p w14:paraId="5E39A2D6" w14:textId="77777777" w:rsidR="00253A58" w:rsidRPr="00FE249B" w:rsidRDefault="00253A58" w:rsidP="00253A58">
      <w:pPr>
        <w:pStyle w:val="Sarakstarindkopa"/>
        <w:numPr>
          <w:ilvl w:val="0"/>
          <w:numId w:val="23"/>
        </w:numPr>
        <w:spacing w:line="256" w:lineRule="auto"/>
        <w:jc w:val="both"/>
        <w:rPr>
          <w:rFonts w:eastAsia="Times New Roman" w:cstheme="minorHAnsi"/>
          <w:color w:val="1F1F1F"/>
          <w:lang w:eastAsia="lv-LV"/>
        </w:rPr>
      </w:pPr>
      <w:r w:rsidRPr="00FE249B">
        <w:rPr>
          <w:rFonts w:eastAsia="Times New Roman" w:cstheme="minorHAnsi"/>
          <w:b/>
          <w:bCs/>
          <w:color w:val="1F1F1F"/>
          <w:bdr w:val="none" w:sz="0" w:space="0" w:color="auto" w:frame="1"/>
          <w:lang w:eastAsia="lv-LV"/>
        </w:rPr>
        <w:t>Infrastruktūras modernizācija:</w:t>
      </w:r>
      <w:r w:rsidRPr="00FE249B">
        <w:rPr>
          <w:rFonts w:eastAsia="Times New Roman" w:cstheme="minorHAnsi"/>
          <w:color w:val="1F1F1F"/>
          <w:bdr w:val="none" w:sz="0" w:space="0" w:color="auto" w:frame="1"/>
          <w:lang w:eastAsia="lv-LV"/>
        </w:rPr>
        <w:t xml:space="preserve"> Aprīlī tika uzstādītas divas jaunas silto graudu iekārtas, paplašinot terapeitisko iespēju klāstu gan bērnu, gan pieaugušu rehabilitācijā. </w:t>
      </w:r>
    </w:p>
    <w:p w14:paraId="6428D70A" w14:textId="77777777" w:rsidR="00253A58" w:rsidRPr="00FE249B" w:rsidRDefault="00253A58" w:rsidP="00253A58">
      <w:pPr>
        <w:pStyle w:val="Sarakstarindkopa"/>
        <w:numPr>
          <w:ilvl w:val="0"/>
          <w:numId w:val="23"/>
        </w:numPr>
        <w:spacing w:line="256" w:lineRule="auto"/>
        <w:jc w:val="both"/>
        <w:rPr>
          <w:rFonts w:eastAsia="Times New Roman" w:cstheme="minorHAnsi"/>
          <w:color w:val="1F1F1F"/>
          <w:lang w:eastAsia="lv-LV"/>
        </w:rPr>
      </w:pPr>
      <w:r w:rsidRPr="00FE249B">
        <w:rPr>
          <w:rFonts w:eastAsia="Times New Roman" w:cstheme="minorHAnsi"/>
          <w:b/>
          <w:bCs/>
          <w:color w:val="1F1F1F"/>
          <w:bdr w:val="none" w:sz="0" w:space="0" w:color="auto" w:frame="1"/>
          <w:lang w:eastAsia="lv-LV"/>
        </w:rPr>
        <w:t>Sadarbība un informētība:</w:t>
      </w:r>
      <w:r w:rsidRPr="00FE249B">
        <w:rPr>
          <w:rFonts w:eastAsia="Times New Roman" w:cstheme="minorHAnsi"/>
          <w:color w:val="1F1F1F"/>
          <w:bdr w:val="none" w:sz="0" w:space="0" w:color="auto" w:frame="1"/>
          <w:lang w:eastAsia="lv-LV"/>
        </w:rPr>
        <w:t xml:space="preserve"> Februārī </w:t>
      </w:r>
      <w:r>
        <w:rPr>
          <w:rFonts w:eastAsia="Times New Roman" w:cstheme="minorHAnsi"/>
          <w:color w:val="1F1F1F"/>
          <w:bdr w:val="none" w:sz="0" w:space="0" w:color="auto" w:frame="1"/>
          <w:lang w:eastAsia="lv-LV"/>
        </w:rPr>
        <w:t xml:space="preserve">tika organizēta </w:t>
      </w:r>
      <w:r w:rsidRPr="00FE249B">
        <w:rPr>
          <w:rFonts w:eastAsia="Times New Roman" w:cstheme="minorHAnsi"/>
          <w:color w:val="1F1F1F"/>
          <w:bdr w:val="none" w:sz="0" w:space="0" w:color="auto" w:frame="1"/>
          <w:lang w:eastAsia="lv-LV"/>
        </w:rPr>
        <w:t>tikšanās ar Jelgavas sociālo lietu pārvaldes speciālistiem, lai veicinātu agrīnās intervences pakalpojumu pieejamību bērniem ar autiskā spektra traucējumu (AST) riskiem</w:t>
      </w:r>
      <w:r>
        <w:rPr>
          <w:rFonts w:eastAsia="Times New Roman" w:cstheme="minorHAnsi"/>
          <w:color w:val="1F1F1F"/>
          <w:bdr w:val="none" w:sz="0" w:space="0" w:color="auto" w:frame="1"/>
          <w:lang w:eastAsia="lv-LV"/>
        </w:rPr>
        <w:t>, uzsvaru liekot tieši pakalpojuma pieejamībai Jelgavas pilsētas bērniem.</w:t>
      </w:r>
    </w:p>
    <w:p w14:paraId="0DCE78AC" w14:textId="77777777" w:rsidR="00253A58" w:rsidRPr="00FE249B" w:rsidRDefault="00253A58" w:rsidP="00253A58">
      <w:pPr>
        <w:jc w:val="both"/>
        <w:rPr>
          <w:rFonts w:eastAsia="Times New Roman" w:cstheme="minorHAnsi"/>
          <w:b/>
          <w:bCs/>
          <w:color w:val="1F1F1F"/>
          <w:lang w:eastAsia="lv-LV"/>
        </w:rPr>
      </w:pPr>
      <w:r w:rsidRPr="00FE249B">
        <w:rPr>
          <w:rFonts w:eastAsia="Times New Roman" w:cstheme="minorHAnsi"/>
          <w:b/>
          <w:bCs/>
          <w:color w:val="1F1F1F"/>
          <w:bdr w:val="none" w:sz="0" w:space="0" w:color="auto" w:frame="1"/>
          <w:lang w:eastAsia="lv-LV"/>
        </w:rPr>
        <w:t>2. Izmaiņas darba organizācijā un personāla resursos</w:t>
      </w:r>
    </w:p>
    <w:p w14:paraId="44F81063" w14:textId="77777777" w:rsidR="00253A58" w:rsidRPr="00FE249B" w:rsidRDefault="00253A58" w:rsidP="00253A58">
      <w:pPr>
        <w:jc w:val="both"/>
        <w:rPr>
          <w:rFonts w:eastAsia="Times New Roman" w:cstheme="minorHAnsi"/>
          <w:color w:val="1F1F1F"/>
          <w:lang w:eastAsia="lv-LV"/>
        </w:rPr>
      </w:pPr>
      <w:r w:rsidRPr="00FE249B">
        <w:rPr>
          <w:rFonts w:eastAsia="Times New Roman" w:cstheme="minorHAnsi"/>
          <w:color w:val="1F1F1F"/>
          <w:bdr w:val="none" w:sz="0" w:space="0" w:color="auto" w:frame="1"/>
          <w:lang w:eastAsia="lv-LV"/>
        </w:rPr>
        <w:t>Pārskata periodā veiktas izmaiņas speciālistu slodzēs, lai optimizētu nodaļu darbu un paplašinātu pakalpojumu klāstu specifiskām pacientu grupām:</w:t>
      </w:r>
    </w:p>
    <w:p w14:paraId="7B997EC0" w14:textId="77777777" w:rsidR="00253A58" w:rsidRPr="00455E75" w:rsidRDefault="00253A58" w:rsidP="00253A58">
      <w:pPr>
        <w:pStyle w:val="Sarakstarindkopa"/>
        <w:numPr>
          <w:ilvl w:val="0"/>
          <w:numId w:val="24"/>
        </w:numPr>
        <w:spacing w:line="256" w:lineRule="auto"/>
        <w:jc w:val="both"/>
        <w:rPr>
          <w:rFonts w:eastAsia="Times New Roman" w:cstheme="minorHAnsi"/>
          <w:color w:val="1F1F1F"/>
          <w:lang w:eastAsia="lv-LV"/>
        </w:rPr>
      </w:pPr>
      <w:r w:rsidRPr="00455E75">
        <w:rPr>
          <w:rFonts w:eastAsia="Times New Roman" w:cstheme="minorHAnsi"/>
          <w:b/>
          <w:bCs/>
          <w:color w:val="1F1F1F"/>
          <w:bdr w:val="none" w:sz="0" w:space="0" w:color="auto" w:frame="1"/>
          <w:lang w:eastAsia="lv-LV"/>
        </w:rPr>
        <w:t>Ergoterapijas pakalpojumu paplašināšana</w:t>
      </w:r>
      <w:r>
        <w:rPr>
          <w:rFonts w:eastAsia="Times New Roman" w:cstheme="minorHAnsi"/>
          <w:b/>
          <w:bCs/>
          <w:color w:val="1F1F1F"/>
          <w:bdr w:val="none" w:sz="0" w:space="0" w:color="auto" w:frame="1"/>
          <w:lang w:eastAsia="lv-LV"/>
        </w:rPr>
        <w:t>.</w:t>
      </w:r>
      <w:r w:rsidRPr="00455E75">
        <w:rPr>
          <w:rFonts w:eastAsia="Times New Roman" w:cstheme="minorHAnsi"/>
          <w:b/>
          <w:bCs/>
          <w:color w:val="1F1F1F"/>
          <w:bdr w:val="none" w:sz="0" w:space="0" w:color="auto" w:frame="1"/>
          <w:lang w:eastAsia="lv-LV"/>
        </w:rPr>
        <w:t>:</w:t>
      </w:r>
      <w:r w:rsidRPr="00455E75">
        <w:rPr>
          <w:rFonts w:eastAsia="Times New Roman" w:cstheme="minorHAnsi"/>
          <w:color w:val="1F1F1F"/>
          <w:bdr w:val="none" w:sz="0" w:space="0" w:color="auto" w:frame="1"/>
          <w:lang w:eastAsia="lv-LV"/>
        </w:rPr>
        <w:t xml:space="preserve"> Saistībā ar ergoterapeites atgriešanos no bērnu kopšanas atvaļinājuma un nepieciešamību saglabāt esošo speciālistu kapacitāti, tika izveidota viena papildu ergoterapeita slodze. Tas ļāva nodrošināt darba pēctecību bērnu nodaļā (sensorās istabas terapija un pilnvērtīgas ergoterapijas nodarbības stacionāra pacientiem). </w:t>
      </w:r>
      <w:r>
        <w:rPr>
          <w:rFonts w:eastAsia="Times New Roman" w:cstheme="minorHAnsi"/>
          <w:color w:val="1F1F1F"/>
          <w:bdr w:val="none" w:sz="0" w:space="0" w:color="auto" w:frame="1"/>
          <w:lang w:eastAsia="lv-LV"/>
        </w:rPr>
        <w:t>Tika i</w:t>
      </w:r>
      <w:r w:rsidRPr="00455E75">
        <w:rPr>
          <w:rFonts w:eastAsia="Times New Roman" w:cstheme="minorHAnsi"/>
          <w:color w:val="1F1F1F"/>
          <w:bdr w:val="none" w:sz="0" w:space="0" w:color="auto" w:frame="1"/>
          <w:lang w:eastAsia="lv-LV"/>
        </w:rPr>
        <w:t>eviest</w:t>
      </w:r>
      <w:r>
        <w:rPr>
          <w:rFonts w:eastAsia="Times New Roman" w:cstheme="minorHAnsi"/>
          <w:color w:val="1F1F1F"/>
          <w:bdr w:val="none" w:sz="0" w:space="0" w:color="auto" w:frame="1"/>
          <w:lang w:eastAsia="lv-LV"/>
        </w:rPr>
        <w:t>as</w:t>
      </w:r>
      <w:r w:rsidRPr="00455E75">
        <w:rPr>
          <w:rFonts w:eastAsia="Times New Roman" w:cstheme="minorHAnsi"/>
          <w:color w:val="1F1F1F"/>
          <w:bdr w:val="none" w:sz="0" w:space="0" w:color="auto" w:frame="1"/>
          <w:lang w:eastAsia="lv-LV"/>
        </w:rPr>
        <w:t xml:space="preserve"> un palielināt</w:t>
      </w:r>
      <w:r>
        <w:rPr>
          <w:rFonts w:eastAsia="Times New Roman" w:cstheme="minorHAnsi"/>
          <w:color w:val="1F1F1F"/>
          <w:bdr w:val="none" w:sz="0" w:space="0" w:color="auto" w:frame="1"/>
          <w:lang w:eastAsia="lv-LV"/>
        </w:rPr>
        <w:t>s</w:t>
      </w:r>
      <w:r w:rsidRPr="00455E75">
        <w:rPr>
          <w:rFonts w:eastAsia="Times New Roman" w:cstheme="minorHAnsi"/>
          <w:color w:val="1F1F1F"/>
          <w:bdr w:val="none" w:sz="0" w:space="0" w:color="auto" w:frame="1"/>
          <w:lang w:eastAsia="lv-LV"/>
        </w:rPr>
        <w:t xml:space="preserve"> manipulāciju skaitu gerontopsihiatrijas pacientu grupā.</w:t>
      </w:r>
    </w:p>
    <w:p w14:paraId="4AA09551" w14:textId="77777777" w:rsidR="00253A58" w:rsidRPr="00455E75" w:rsidRDefault="00253A58" w:rsidP="00253A58">
      <w:pPr>
        <w:pStyle w:val="Sarakstarindkopa"/>
        <w:numPr>
          <w:ilvl w:val="0"/>
          <w:numId w:val="24"/>
        </w:numPr>
        <w:spacing w:line="256" w:lineRule="auto"/>
        <w:jc w:val="both"/>
        <w:rPr>
          <w:rFonts w:eastAsia="Times New Roman" w:cstheme="minorHAnsi"/>
          <w:color w:val="1F1F1F"/>
          <w:lang w:eastAsia="lv-LV"/>
        </w:rPr>
      </w:pPr>
      <w:r w:rsidRPr="00455E75">
        <w:rPr>
          <w:rFonts w:eastAsia="Times New Roman" w:cstheme="minorHAnsi"/>
          <w:b/>
          <w:bCs/>
          <w:color w:val="1F1F1F"/>
          <w:bdr w:val="none" w:sz="0" w:space="0" w:color="auto" w:frame="1"/>
          <w:lang w:eastAsia="lv-LV"/>
        </w:rPr>
        <w:t>Komandas papildināšana</w:t>
      </w:r>
      <w:r>
        <w:rPr>
          <w:rFonts w:eastAsia="Times New Roman" w:cstheme="minorHAnsi"/>
          <w:b/>
          <w:bCs/>
          <w:color w:val="1F1F1F"/>
          <w:bdr w:val="none" w:sz="0" w:space="0" w:color="auto" w:frame="1"/>
          <w:lang w:eastAsia="lv-LV"/>
        </w:rPr>
        <w:t>.</w:t>
      </w:r>
      <w:r w:rsidRPr="00455E75">
        <w:rPr>
          <w:rFonts w:eastAsia="Times New Roman" w:cstheme="minorHAnsi"/>
          <w:b/>
          <w:bCs/>
          <w:color w:val="1F1F1F"/>
          <w:bdr w:val="none" w:sz="0" w:space="0" w:color="auto" w:frame="1"/>
          <w:lang w:eastAsia="lv-LV"/>
        </w:rPr>
        <w:t xml:space="preserve"> </w:t>
      </w:r>
      <w:r w:rsidRPr="00455E75">
        <w:rPr>
          <w:rFonts w:eastAsia="Times New Roman" w:cstheme="minorHAnsi"/>
          <w:color w:val="1F1F1F"/>
          <w:bdr w:val="none" w:sz="0" w:space="0" w:color="auto" w:frame="1"/>
          <w:lang w:eastAsia="lv-LV"/>
        </w:rPr>
        <w:t>Uzsāktas darba attiecības ar psihologu, risinot smilšu terapijas speciālista vakanci bērnu dienas stacionārā. Agrīnās intervences komandai pievienojies logopēds.</w:t>
      </w:r>
    </w:p>
    <w:p w14:paraId="0D8D3126" w14:textId="77777777" w:rsidR="00253A58" w:rsidRPr="00455E75" w:rsidRDefault="00253A58" w:rsidP="00253A58">
      <w:pPr>
        <w:pStyle w:val="Sarakstarindkopa"/>
        <w:numPr>
          <w:ilvl w:val="0"/>
          <w:numId w:val="24"/>
        </w:numPr>
        <w:spacing w:line="256" w:lineRule="auto"/>
        <w:jc w:val="both"/>
        <w:rPr>
          <w:rFonts w:eastAsia="Times New Roman" w:cstheme="minorHAnsi"/>
          <w:color w:val="1F1F1F"/>
          <w:lang w:eastAsia="lv-LV"/>
        </w:rPr>
      </w:pPr>
      <w:r w:rsidRPr="00455E75">
        <w:rPr>
          <w:rFonts w:eastAsia="Times New Roman" w:cstheme="minorHAnsi"/>
          <w:b/>
          <w:bCs/>
          <w:color w:val="1F1F1F"/>
          <w:bdr w:val="none" w:sz="0" w:space="0" w:color="auto" w:frame="1"/>
          <w:lang w:eastAsia="lv-LV"/>
        </w:rPr>
        <w:t xml:space="preserve">Izmaiņas terapeitu sastāvā. </w:t>
      </w:r>
      <w:r w:rsidRPr="00455E75">
        <w:rPr>
          <w:rFonts w:eastAsia="Times New Roman" w:cstheme="minorHAnsi"/>
          <w:color w:val="1F1F1F"/>
          <w:bdr w:val="none" w:sz="0" w:space="0" w:color="auto" w:frame="1"/>
          <w:lang w:eastAsia="lv-LV"/>
        </w:rPr>
        <w:t>Pārtrauktas darba attiecības ar vizuālās mākslas terapeiti pieaugušo praksē</w:t>
      </w:r>
      <w:r>
        <w:rPr>
          <w:rFonts w:eastAsia="Times New Roman" w:cstheme="minorHAnsi"/>
          <w:color w:val="1F1F1F"/>
          <w:bdr w:val="none" w:sz="0" w:space="0" w:color="auto" w:frame="1"/>
          <w:lang w:eastAsia="lv-LV"/>
        </w:rPr>
        <w:t>. U</w:t>
      </w:r>
      <w:r w:rsidRPr="00455E75">
        <w:rPr>
          <w:rFonts w:eastAsia="Times New Roman" w:cstheme="minorHAnsi"/>
          <w:color w:val="1F1F1F"/>
          <w:bdr w:val="none" w:sz="0" w:space="0" w:color="auto" w:frame="1"/>
          <w:lang w:eastAsia="lv-LV"/>
        </w:rPr>
        <w:t>z darbinieka prombūtnes laiku otra speciāliste palielinājusi slodzi par 0,25.</w:t>
      </w:r>
      <w:r>
        <w:rPr>
          <w:rFonts w:eastAsia="Times New Roman" w:cstheme="minorHAnsi"/>
          <w:color w:val="1F1F1F"/>
          <w:bdr w:val="none" w:sz="0" w:space="0" w:color="auto" w:frame="1"/>
          <w:lang w:eastAsia="lv-LV"/>
        </w:rPr>
        <w:t xml:space="preserve"> </w:t>
      </w:r>
    </w:p>
    <w:p w14:paraId="7CA347C8" w14:textId="77777777" w:rsidR="00253A58" w:rsidRPr="00455E75" w:rsidRDefault="00253A58" w:rsidP="00253A58">
      <w:pPr>
        <w:pStyle w:val="Sarakstarindkopa"/>
        <w:numPr>
          <w:ilvl w:val="0"/>
          <w:numId w:val="24"/>
        </w:numPr>
        <w:spacing w:line="256" w:lineRule="auto"/>
        <w:jc w:val="both"/>
        <w:rPr>
          <w:rFonts w:eastAsia="Times New Roman" w:cstheme="minorHAnsi"/>
          <w:color w:val="1F1F1F"/>
          <w:lang w:eastAsia="lv-LV"/>
        </w:rPr>
      </w:pPr>
      <w:r>
        <w:rPr>
          <w:rFonts w:eastAsia="Times New Roman" w:cstheme="minorHAnsi"/>
          <w:b/>
          <w:bCs/>
          <w:color w:val="1F1F1F"/>
          <w:bdr w:val="none" w:sz="0" w:space="0" w:color="auto" w:frame="1"/>
          <w:lang w:eastAsia="lv-LV"/>
        </w:rPr>
        <w:lastRenderedPageBreak/>
        <w:t>Ambulatorie maksas pakalpojumi.</w:t>
      </w:r>
      <w:r>
        <w:rPr>
          <w:rFonts w:eastAsia="Times New Roman" w:cstheme="minorHAnsi"/>
          <w:color w:val="1F1F1F"/>
          <w:bdr w:val="none" w:sz="0" w:space="0" w:color="auto" w:frame="1"/>
          <w:lang w:eastAsia="lv-LV"/>
        </w:rPr>
        <w:t xml:space="preserve"> </w:t>
      </w:r>
      <w:r w:rsidRPr="00455E75">
        <w:rPr>
          <w:rFonts w:eastAsia="Times New Roman" w:cstheme="minorHAnsi"/>
          <w:color w:val="1F1F1F"/>
          <w:bdr w:val="none" w:sz="0" w:space="0" w:color="auto" w:frame="1"/>
          <w:lang w:eastAsia="lv-LV"/>
        </w:rPr>
        <w:t xml:space="preserve">Ambulatoro maksas pakalpojumu sniedzēju lokam pievienojušies </w:t>
      </w:r>
      <w:r>
        <w:rPr>
          <w:rFonts w:eastAsia="Times New Roman" w:cstheme="minorHAnsi"/>
          <w:color w:val="1F1F1F"/>
          <w:bdr w:val="none" w:sz="0" w:space="0" w:color="auto" w:frame="1"/>
          <w:lang w:eastAsia="lv-LV"/>
        </w:rPr>
        <w:t>trīs</w:t>
      </w:r>
      <w:r w:rsidRPr="00455E75">
        <w:rPr>
          <w:rFonts w:eastAsia="Times New Roman" w:cstheme="minorHAnsi"/>
          <w:color w:val="1F1F1F"/>
          <w:bdr w:val="none" w:sz="0" w:space="0" w:color="auto" w:frame="1"/>
          <w:lang w:eastAsia="lv-LV"/>
        </w:rPr>
        <w:t xml:space="preserve"> speciālisti: klīniskais un veselības psihologs, </w:t>
      </w:r>
      <w:r>
        <w:rPr>
          <w:rFonts w:eastAsia="Times New Roman" w:cstheme="minorHAnsi"/>
          <w:color w:val="1F1F1F"/>
          <w:bdr w:val="none" w:sz="0" w:space="0" w:color="auto" w:frame="1"/>
          <w:lang w:eastAsia="lv-LV"/>
        </w:rPr>
        <w:t xml:space="preserve">vizuālās mākslas terapeits, </w:t>
      </w:r>
      <w:r w:rsidRPr="00455E75">
        <w:rPr>
          <w:rFonts w:eastAsia="Times New Roman" w:cstheme="minorHAnsi"/>
          <w:color w:val="1F1F1F"/>
          <w:bdr w:val="none" w:sz="0" w:space="0" w:color="auto" w:frame="1"/>
          <w:lang w:eastAsia="lv-LV"/>
        </w:rPr>
        <w:t>kā arī deju un kustību terapeits.</w:t>
      </w:r>
    </w:p>
    <w:p w14:paraId="1F05C0B7" w14:textId="77777777" w:rsidR="00253A58" w:rsidRPr="00455E75" w:rsidRDefault="00253A58" w:rsidP="00253A58">
      <w:pPr>
        <w:pStyle w:val="Sarakstarindkopa"/>
        <w:numPr>
          <w:ilvl w:val="0"/>
          <w:numId w:val="24"/>
        </w:numPr>
        <w:spacing w:line="256" w:lineRule="auto"/>
        <w:jc w:val="both"/>
        <w:rPr>
          <w:rFonts w:eastAsia="Times New Roman" w:cstheme="minorHAnsi"/>
          <w:color w:val="1F1F1F"/>
          <w:lang w:eastAsia="lv-LV"/>
        </w:rPr>
      </w:pPr>
      <w:r w:rsidRPr="00455E75">
        <w:rPr>
          <w:rFonts w:eastAsia="Times New Roman" w:cstheme="minorHAnsi"/>
          <w:b/>
          <w:bCs/>
          <w:color w:val="1F1F1F"/>
          <w:bdr w:val="none" w:sz="0" w:space="0" w:color="auto" w:frame="1"/>
          <w:lang w:eastAsia="lv-LV"/>
        </w:rPr>
        <w:t>Sertifikācija:</w:t>
      </w:r>
      <w:r w:rsidRPr="00455E75">
        <w:rPr>
          <w:rFonts w:eastAsia="Times New Roman" w:cstheme="minorHAnsi"/>
          <w:color w:val="1F1F1F"/>
          <w:bdr w:val="none" w:sz="0" w:space="0" w:color="auto" w:frame="1"/>
          <w:lang w:eastAsia="lv-LV"/>
        </w:rPr>
        <w:t xml:space="preserve"> Pārskata periodā sertifikātu ieguvis viens klīniskais un veselības psihologs.</w:t>
      </w:r>
    </w:p>
    <w:p w14:paraId="3ABEE61A" w14:textId="77777777" w:rsidR="00253A58" w:rsidRPr="00455E75" w:rsidRDefault="00253A58" w:rsidP="00253A58">
      <w:pPr>
        <w:jc w:val="both"/>
        <w:rPr>
          <w:rFonts w:eastAsia="Times New Roman" w:cstheme="minorHAnsi"/>
          <w:b/>
          <w:bCs/>
          <w:color w:val="1F1F1F"/>
          <w:lang w:eastAsia="lv-LV"/>
        </w:rPr>
      </w:pPr>
      <w:r w:rsidRPr="00455E75">
        <w:rPr>
          <w:rFonts w:eastAsia="Times New Roman" w:cstheme="minorHAnsi"/>
          <w:b/>
          <w:bCs/>
          <w:color w:val="1F1F1F"/>
          <w:lang w:eastAsia="lv-LV"/>
        </w:rPr>
        <w:t>3. Izglītības procesa atbalsts un pēctecība</w:t>
      </w:r>
    </w:p>
    <w:p w14:paraId="488E4112" w14:textId="77777777" w:rsidR="00253A58" w:rsidRPr="00455E75" w:rsidRDefault="00253A58" w:rsidP="00253A58">
      <w:pPr>
        <w:pStyle w:val="Paraststmeklis"/>
        <w:rPr>
          <w:rFonts w:asciiTheme="minorHAnsi" w:hAnsiTheme="minorHAnsi" w:cstheme="minorHAnsi"/>
          <w:sz w:val="22"/>
          <w:szCs w:val="22"/>
        </w:rPr>
      </w:pPr>
      <w:r w:rsidRPr="00455E75">
        <w:rPr>
          <w:rFonts w:asciiTheme="minorHAnsi" w:hAnsiTheme="minorHAnsi" w:cstheme="minorHAnsi"/>
          <w:sz w:val="22"/>
          <w:szCs w:val="22"/>
        </w:rPr>
        <w:t>Nodaļa aktīvi iesaistās jauno speciālistu sagatavošanā, nodrošinot kvalitatīvu prakses vidi un zināšanu pārnesi:</w:t>
      </w:r>
    </w:p>
    <w:p w14:paraId="14633046" w14:textId="77777777" w:rsidR="00253A58" w:rsidRPr="00974516" w:rsidRDefault="00253A58" w:rsidP="00253A58">
      <w:pPr>
        <w:pStyle w:val="Paraststmeklis"/>
        <w:numPr>
          <w:ilvl w:val="0"/>
          <w:numId w:val="25"/>
        </w:numPr>
        <w:spacing w:before="100" w:beforeAutospacing="1" w:after="100" w:afterAutospacing="1"/>
        <w:rPr>
          <w:rFonts w:asciiTheme="minorHAnsi" w:hAnsiTheme="minorHAnsi" w:cstheme="minorHAnsi"/>
          <w:sz w:val="22"/>
          <w:szCs w:val="22"/>
        </w:rPr>
      </w:pPr>
      <w:r w:rsidRPr="00455E75">
        <w:rPr>
          <w:rFonts w:asciiTheme="minorHAnsi" w:hAnsiTheme="minorHAnsi" w:cstheme="minorHAnsi"/>
          <w:b/>
          <w:bCs/>
          <w:sz w:val="22"/>
          <w:szCs w:val="22"/>
        </w:rPr>
        <w:t>Mācību prakses:</w:t>
      </w:r>
      <w:r w:rsidRPr="00455E75">
        <w:rPr>
          <w:rFonts w:asciiTheme="minorHAnsi" w:hAnsiTheme="minorHAnsi" w:cstheme="minorHAnsi"/>
          <w:sz w:val="22"/>
          <w:szCs w:val="22"/>
        </w:rPr>
        <w:t xml:space="preserve"> Pārskata periodā nodaļā praksē tika uzņemti un apmācīti topošies speciālisti – psihologi un ergoterapeiti</w:t>
      </w:r>
      <w:r>
        <w:rPr>
          <w:rFonts w:asciiTheme="minorHAnsi" w:hAnsiTheme="minorHAnsi" w:cstheme="minorHAnsi"/>
          <w:sz w:val="22"/>
          <w:szCs w:val="22"/>
        </w:rPr>
        <w:t xml:space="preserve"> un</w:t>
      </w:r>
      <w:r w:rsidRPr="00455E75">
        <w:rPr>
          <w:rFonts w:asciiTheme="minorHAnsi" w:hAnsiTheme="minorHAnsi" w:cstheme="minorHAnsi"/>
          <w:sz w:val="22"/>
          <w:szCs w:val="22"/>
        </w:rPr>
        <w:t xml:space="preserve"> vizuālās mākslas terapeiti.</w:t>
      </w:r>
    </w:p>
    <w:p w14:paraId="6E628214" w14:textId="77777777" w:rsidR="005207F9" w:rsidRDefault="005207F9" w:rsidP="008D79D0">
      <w:pPr>
        <w:spacing w:after="0"/>
        <w:rPr>
          <w:rFonts w:cstheme="minorHAnsi"/>
          <w:b/>
          <w:bCs/>
        </w:rPr>
      </w:pPr>
    </w:p>
    <w:p w14:paraId="7D0DDF77" w14:textId="4122C814" w:rsidR="008D79D0" w:rsidRPr="003D07A2" w:rsidRDefault="008D79D0" w:rsidP="008D79D0">
      <w:pPr>
        <w:spacing w:after="0"/>
        <w:rPr>
          <w:rFonts w:cstheme="minorHAnsi"/>
          <w:b/>
          <w:bCs/>
        </w:rPr>
      </w:pPr>
      <w:r w:rsidRPr="003D07A2">
        <w:rPr>
          <w:rFonts w:cstheme="minorHAnsi"/>
          <w:b/>
          <w:bCs/>
        </w:rPr>
        <w:t>Personāls</w:t>
      </w:r>
    </w:p>
    <w:p w14:paraId="1842D211" w14:textId="0D2CF106" w:rsidR="000A70AD" w:rsidRPr="003D07A2" w:rsidRDefault="00E56624" w:rsidP="00712DD6">
      <w:pPr>
        <w:spacing w:before="100" w:beforeAutospacing="1" w:after="100" w:afterAutospacing="1"/>
        <w:jc w:val="both"/>
        <w:rPr>
          <w:rFonts w:cstheme="minorHAnsi"/>
        </w:rPr>
      </w:pPr>
      <w:r w:rsidRPr="003D07A2">
        <w:rPr>
          <w:rFonts w:cstheme="minorHAnsi"/>
        </w:rPr>
        <w:t xml:space="preserve">Sabiedrībā pārskata periodā vidēji nodarbināti </w:t>
      </w:r>
      <w:r w:rsidR="0050262B">
        <w:rPr>
          <w:rFonts w:cstheme="minorHAnsi"/>
        </w:rPr>
        <w:t>53</w:t>
      </w:r>
      <w:r w:rsidR="0097793A">
        <w:rPr>
          <w:rFonts w:cstheme="minorHAnsi"/>
        </w:rPr>
        <w:t>9</w:t>
      </w:r>
      <w:r w:rsidRPr="003D07A2">
        <w:rPr>
          <w:rFonts w:cstheme="minorHAnsi"/>
        </w:rPr>
        <w:t xml:space="preserve">, kas ir par </w:t>
      </w:r>
      <w:r w:rsidR="0097793A">
        <w:rPr>
          <w:rFonts w:cstheme="minorHAnsi"/>
        </w:rPr>
        <w:t>4</w:t>
      </w:r>
      <w:r w:rsidRPr="003D07A2">
        <w:rPr>
          <w:rFonts w:cstheme="minorHAnsi"/>
        </w:rPr>
        <w:t xml:space="preserve"> darbiniek</w:t>
      </w:r>
      <w:r w:rsidR="007C7B05">
        <w:rPr>
          <w:rFonts w:cstheme="minorHAnsi"/>
        </w:rPr>
        <w:t xml:space="preserve">iem </w:t>
      </w:r>
      <w:r w:rsidR="0050262B">
        <w:rPr>
          <w:rFonts w:cstheme="minorHAnsi"/>
        </w:rPr>
        <w:t>vairāk</w:t>
      </w:r>
      <w:r w:rsidR="00E97EE5">
        <w:rPr>
          <w:rFonts w:cstheme="minorHAnsi"/>
        </w:rPr>
        <w:t xml:space="preserve"> </w:t>
      </w:r>
      <w:r w:rsidRPr="003D07A2">
        <w:rPr>
          <w:rFonts w:cstheme="minorHAnsi"/>
        </w:rPr>
        <w:t>kā 20</w:t>
      </w:r>
      <w:r w:rsidR="00215612">
        <w:rPr>
          <w:rFonts w:cstheme="minorHAnsi"/>
        </w:rPr>
        <w:t>2</w:t>
      </w:r>
      <w:r w:rsidR="0097793A">
        <w:rPr>
          <w:rFonts w:cstheme="minorHAnsi"/>
        </w:rPr>
        <w:t>5</w:t>
      </w:r>
      <w:r w:rsidRPr="003D07A2">
        <w:rPr>
          <w:rFonts w:cstheme="minorHAnsi"/>
        </w:rPr>
        <w:t>.gada salīdzināmajā periodā</w:t>
      </w:r>
      <w:r w:rsidR="004A4E51" w:rsidRPr="003D07A2">
        <w:rPr>
          <w:rFonts w:cstheme="minorHAnsi"/>
        </w:rPr>
        <w:t>.</w:t>
      </w:r>
      <w:r w:rsidRPr="003D07A2">
        <w:rPr>
          <w:rFonts w:cstheme="minorHAnsi"/>
        </w:rPr>
        <w:t xml:space="preserve"> </w:t>
      </w:r>
      <w:r w:rsidR="00E97EE5">
        <w:rPr>
          <w:rFonts w:cstheme="minorHAnsi"/>
        </w:rPr>
        <w:t>Lai iespējami korekti aprēķinātu vidējo darba samaksu, vidējā nodarbināto skaita aprēķinā neiekļauj darbiniekus, kuri visu pārskata mēnesi nav nodarbināti sakarā ar ilgstošo darba nespēju. Šajā pārskata periodā vērojama liela darbinieku saslimstība, īpaši māsu un māsu palīgu kategorijā.</w:t>
      </w:r>
      <w:r w:rsidR="0050262B">
        <w:rPr>
          <w:rFonts w:cstheme="minorHAnsi"/>
        </w:rPr>
        <w:t xml:space="preserve">  Atbilstoši noslēgtajiem darba līgumiem sabiedrībā darba attiecības ir </w:t>
      </w:r>
      <w:r w:rsidR="0097793A">
        <w:rPr>
          <w:rFonts w:cstheme="minorHAnsi"/>
        </w:rPr>
        <w:t xml:space="preserve">565 ( 2025.gadā 1 cet. </w:t>
      </w:r>
      <w:r w:rsidR="0050262B">
        <w:rPr>
          <w:rFonts w:cstheme="minorHAnsi"/>
        </w:rPr>
        <w:t xml:space="preserve">558 </w:t>
      </w:r>
      <w:r w:rsidR="0097793A">
        <w:rPr>
          <w:rFonts w:cstheme="minorHAnsi"/>
        </w:rPr>
        <w:t xml:space="preserve">) </w:t>
      </w:r>
      <w:r w:rsidR="0050262B">
        <w:rPr>
          <w:rFonts w:cstheme="minorHAnsi"/>
        </w:rPr>
        <w:t xml:space="preserve">darbiniekiem, no tiem </w:t>
      </w:r>
      <w:r w:rsidR="0097793A">
        <w:rPr>
          <w:rFonts w:cstheme="minorHAnsi"/>
        </w:rPr>
        <w:t>9</w:t>
      </w:r>
      <w:r w:rsidR="0050262B">
        <w:rPr>
          <w:rFonts w:cstheme="minorHAnsi"/>
        </w:rPr>
        <w:t xml:space="preserve"> darbinieki ir bērna kopšanas atvaļinājumā.</w:t>
      </w:r>
    </w:p>
    <w:p w14:paraId="0F9E0F54" w14:textId="77777777" w:rsidR="00C615AB" w:rsidRDefault="00E56624" w:rsidP="00712DD6">
      <w:pPr>
        <w:spacing w:before="100" w:beforeAutospacing="1" w:after="100" w:afterAutospacing="1"/>
        <w:jc w:val="both"/>
        <w:rPr>
          <w:rFonts w:cstheme="minorHAnsi"/>
        </w:rPr>
      </w:pPr>
      <w:r w:rsidRPr="003D07A2">
        <w:rPr>
          <w:rFonts w:cstheme="minorHAnsi"/>
        </w:rPr>
        <w:t xml:space="preserve">Sabiedrībā finansētas vidēji </w:t>
      </w:r>
      <w:r w:rsidR="0097793A">
        <w:rPr>
          <w:rFonts w:cstheme="minorHAnsi"/>
        </w:rPr>
        <w:t>59.55</w:t>
      </w:r>
      <w:r w:rsidRPr="003D07A2">
        <w:rPr>
          <w:rFonts w:cstheme="minorHAnsi"/>
        </w:rPr>
        <w:t xml:space="preserve"> ārstu, </w:t>
      </w:r>
      <w:r w:rsidR="004236A1" w:rsidRPr="003D07A2">
        <w:rPr>
          <w:rFonts w:cstheme="minorHAnsi"/>
        </w:rPr>
        <w:t xml:space="preserve">tai skaitā </w:t>
      </w:r>
      <w:r w:rsidR="0097793A">
        <w:rPr>
          <w:rFonts w:cstheme="minorHAnsi"/>
        </w:rPr>
        <w:t>23.3</w:t>
      </w:r>
      <w:r w:rsidR="00E97EE5">
        <w:rPr>
          <w:rFonts w:cstheme="minorHAnsi"/>
        </w:rPr>
        <w:t xml:space="preserve"> (</w:t>
      </w:r>
      <w:r w:rsidR="0097793A">
        <w:rPr>
          <w:rFonts w:cstheme="minorHAnsi"/>
        </w:rPr>
        <w:t xml:space="preserve">2025.gadā 20.62; </w:t>
      </w:r>
      <w:r w:rsidR="00894DA3">
        <w:rPr>
          <w:rFonts w:cstheme="minorHAnsi"/>
        </w:rPr>
        <w:t xml:space="preserve">2024.gadā 20.97; </w:t>
      </w:r>
      <w:r w:rsidR="00E97EE5">
        <w:rPr>
          <w:rFonts w:cstheme="minorHAnsi"/>
        </w:rPr>
        <w:t xml:space="preserve">2023.gadā </w:t>
      </w:r>
      <w:r w:rsidR="007E387F">
        <w:rPr>
          <w:rFonts w:cstheme="minorHAnsi"/>
        </w:rPr>
        <w:t>16.98</w:t>
      </w:r>
      <w:r w:rsidR="00E97EE5">
        <w:rPr>
          <w:rFonts w:cstheme="minorHAnsi"/>
        </w:rPr>
        <w:t>)</w:t>
      </w:r>
      <w:r w:rsidR="004236A1" w:rsidRPr="003D07A2">
        <w:rPr>
          <w:rFonts w:cstheme="minorHAnsi"/>
        </w:rPr>
        <w:t xml:space="preserve"> </w:t>
      </w:r>
      <w:r w:rsidRPr="003D07A2">
        <w:rPr>
          <w:rFonts w:cstheme="minorHAnsi"/>
        </w:rPr>
        <w:t xml:space="preserve">funkcionālo speciālistu slodzes; </w:t>
      </w:r>
      <w:r w:rsidR="0097793A">
        <w:rPr>
          <w:rFonts w:cstheme="minorHAnsi"/>
        </w:rPr>
        <w:t>95</w:t>
      </w:r>
      <w:r w:rsidR="00BA1E07" w:rsidRPr="003D07A2">
        <w:rPr>
          <w:rFonts w:cstheme="minorHAnsi"/>
        </w:rPr>
        <w:t xml:space="preserve"> māsu slodzes; </w:t>
      </w:r>
      <w:r w:rsidR="0050262B">
        <w:rPr>
          <w:rFonts w:cstheme="minorHAnsi"/>
        </w:rPr>
        <w:t>100</w:t>
      </w:r>
      <w:r w:rsidR="00BA1E07" w:rsidRPr="003D07A2">
        <w:rPr>
          <w:rFonts w:cstheme="minorHAnsi"/>
        </w:rPr>
        <w:t xml:space="preserve"> māsu palīgu slodzes; </w:t>
      </w:r>
      <w:r w:rsidR="0097793A">
        <w:rPr>
          <w:rFonts w:cstheme="minorHAnsi"/>
        </w:rPr>
        <w:t>15.8</w:t>
      </w:r>
      <w:r w:rsidR="00BA1E07" w:rsidRPr="003D07A2">
        <w:rPr>
          <w:rFonts w:cstheme="minorHAnsi"/>
        </w:rPr>
        <w:t xml:space="preserve"> administratīvā personāla slodzes; </w:t>
      </w:r>
      <w:r w:rsidR="0097793A">
        <w:rPr>
          <w:rFonts w:cstheme="minorHAnsi"/>
        </w:rPr>
        <w:t>208</w:t>
      </w:r>
      <w:r w:rsidR="00BA1E07" w:rsidRPr="003D07A2">
        <w:rPr>
          <w:rFonts w:cstheme="minorHAnsi"/>
        </w:rPr>
        <w:t xml:space="preserve"> pārējo darbinieku slodzes.</w:t>
      </w:r>
    </w:p>
    <w:p w14:paraId="56819723" w14:textId="2DF448EA" w:rsidR="00E56624" w:rsidRPr="003D07A2" w:rsidRDefault="0050262B" w:rsidP="00712DD6">
      <w:pPr>
        <w:spacing w:before="100" w:beforeAutospacing="1" w:after="100" w:afterAutospacing="1"/>
        <w:jc w:val="both"/>
        <w:rPr>
          <w:rFonts w:cstheme="minorHAnsi"/>
        </w:rPr>
      </w:pPr>
      <w:r>
        <w:rPr>
          <w:rFonts w:cstheme="minorHAnsi"/>
        </w:rPr>
        <w:t xml:space="preserve"> Slodžu skaits periodā, kuras izmantotas vidējās darba samaksas plāna aprēķinā ir </w:t>
      </w:r>
      <w:r w:rsidR="0097793A">
        <w:rPr>
          <w:rFonts w:cstheme="minorHAnsi"/>
        </w:rPr>
        <w:t>478.9</w:t>
      </w:r>
      <w:r>
        <w:rPr>
          <w:rFonts w:cstheme="minorHAnsi"/>
        </w:rPr>
        <w:t>.</w:t>
      </w:r>
    </w:p>
    <w:p w14:paraId="44900610" w14:textId="3E4ABDE5" w:rsidR="00BA1E07" w:rsidRPr="003D07A2" w:rsidRDefault="00BA1E07" w:rsidP="00712DD6">
      <w:pPr>
        <w:spacing w:before="100" w:beforeAutospacing="1" w:after="100" w:afterAutospacing="1"/>
        <w:jc w:val="both"/>
        <w:rPr>
          <w:rFonts w:cstheme="minorHAnsi"/>
        </w:rPr>
      </w:pPr>
      <w:r w:rsidRPr="003D07A2">
        <w:rPr>
          <w:rFonts w:cstheme="minorHAnsi"/>
        </w:rPr>
        <w:t xml:space="preserve">Darbinieku mainība pārskata periodā ir </w:t>
      </w:r>
      <w:r w:rsidR="00313D7E">
        <w:rPr>
          <w:rFonts w:cstheme="minorHAnsi"/>
        </w:rPr>
        <w:t>4</w:t>
      </w:r>
      <w:r w:rsidRPr="003D07A2">
        <w:rPr>
          <w:rFonts w:cstheme="minorHAnsi"/>
        </w:rPr>
        <w:t>%,</w:t>
      </w:r>
      <w:r w:rsidR="001520BC">
        <w:rPr>
          <w:rFonts w:cstheme="minorHAnsi"/>
        </w:rPr>
        <w:t xml:space="preserve">kas ir par 1% </w:t>
      </w:r>
      <w:r w:rsidR="00313D7E">
        <w:rPr>
          <w:rFonts w:cstheme="minorHAnsi"/>
        </w:rPr>
        <w:t>vairāk</w:t>
      </w:r>
      <w:r w:rsidR="001520BC">
        <w:rPr>
          <w:rFonts w:cstheme="minorHAnsi"/>
        </w:rPr>
        <w:t xml:space="preserve"> kā plānots,</w:t>
      </w:r>
      <w:r w:rsidRPr="003D07A2">
        <w:rPr>
          <w:rFonts w:cstheme="minorHAnsi"/>
        </w:rPr>
        <w:t xml:space="preserve">  20</w:t>
      </w:r>
      <w:r w:rsidR="00937CAF">
        <w:rPr>
          <w:rFonts w:cstheme="minorHAnsi"/>
        </w:rPr>
        <w:t>2</w:t>
      </w:r>
      <w:r w:rsidR="00313D7E">
        <w:rPr>
          <w:rFonts w:cstheme="minorHAnsi"/>
        </w:rPr>
        <w:t>5</w:t>
      </w:r>
      <w:r w:rsidRPr="003D07A2">
        <w:rPr>
          <w:rFonts w:cstheme="minorHAnsi"/>
        </w:rPr>
        <w:t>. gad</w:t>
      </w:r>
      <w:r w:rsidR="005A1972">
        <w:rPr>
          <w:rFonts w:cstheme="minorHAnsi"/>
        </w:rPr>
        <w:t>a pārskata periodā</w:t>
      </w:r>
      <w:r w:rsidR="00325826">
        <w:rPr>
          <w:rFonts w:cstheme="minorHAnsi"/>
        </w:rPr>
        <w:t>-</w:t>
      </w:r>
      <w:r w:rsidR="00313D7E">
        <w:rPr>
          <w:rFonts w:cstheme="minorHAnsi"/>
        </w:rPr>
        <w:t>3</w:t>
      </w:r>
      <w:r w:rsidR="00325826">
        <w:rPr>
          <w:rFonts w:cstheme="minorHAnsi"/>
        </w:rPr>
        <w:t>%</w:t>
      </w:r>
      <w:r w:rsidRPr="003D07A2">
        <w:rPr>
          <w:rFonts w:cstheme="minorHAnsi"/>
        </w:rPr>
        <w:t>.</w:t>
      </w:r>
    </w:p>
    <w:p w14:paraId="64456050" w14:textId="2002C7C2" w:rsidR="00BA1E07" w:rsidRPr="003D07A2" w:rsidRDefault="00BA1E07" w:rsidP="00712DD6">
      <w:pPr>
        <w:spacing w:before="100" w:beforeAutospacing="1" w:after="100" w:afterAutospacing="1"/>
        <w:jc w:val="both"/>
        <w:rPr>
          <w:rFonts w:cstheme="minorHAnsi"/>
        </w:rPr>
      </w:pPr>
      <w:r w:rsidRPr="003D07A2">
        <w:rPr>
          <w:rFonts w:cstheme="minorHAnsi"/>
        </w:rPr>
        <w:t xml:space="preserve">Pārskata periodā Sabiedrība nodrošināja vidējo darba samaksu </w:t>
      </w:r>
      <w:r w:rsidR="008B6A4D">
        <w:rPr>
          <w:rFonts w:cstheme="minorHAnsi"/>
        </w:rPr>
        <w:t>1563</w:t>
      </w:r>
      <w:r w:rsidR="00325826">
        <w:rPr>
          <w:rFonts w:cstheme="minorHAnsi"/>
        </w:rPr>
        <w:t xml:space="preserve"> euro (</w:t>
      </w:r>
      <w:r w:rsidR="000C381D">
        <w:rPr>
          <w:rFonts w:cstheme="minorHAnsi"/>
        </w:rPr>
        <w:t xml:space="preserve">salīdzināmajā pārskata periodā: 2025.gadā 1517 euro; </w:t>
      </w:r>
      <w:r w:rsidR="001F1CF9">
        <w:rPr>
          <w:rFonts w:cstheme="minorHAnsi"/>
        </w:rPr>
        <w:t xml:space="preserve">2024.gadā </w:t>
      </w:r>
      <w:r w:rsidR="00432F0D">
        <w:rPr>
          <w:rFonts w:cstheme="minorHAnsi"/>
        </w:rPr>
        <w:t xml:space="preserve">1486 </w:t>
      </w:r>
      <w:r w:rsidRPr="003D07A2">
        <w:rPr>
          <w:rFonts w:cstheme="minorHAnsi"/>
        </w:rPr>
        <w:t xml:space="preserve"> euro </w:t>
      </w:r>
      <w:r w:rsidR="001F1CF9">
        <w:rPr>
          <w:rFonts w:cstheme="minorHAnsi"/>
        </w:rPr>
        <w:t xml:space="preserve">) </w:t>
      </w:r>
      <w:r w:rsidRPr="003D07A2">
        <w:rPr>
          <w:rFonts w:cstheme="minorHAnsi"/>
        </w:rPr>
        <w:t>apmērā</w:t>
      </w:r>
      <w:r w:rsidR="001F1CF9">
        <w:rPr>
          <w:rFonts w:cstheme="minorHAnsi"/>
        </w:rPr>
        <w:t>.</w:t>
      </w:r>
      <w:r w:rsidRPr="003D07A2">
        <w:rPr>
          <w:rFonts w:cstheme="minorHAnsi"/>
        </w:rPr>
        <w:t xml:space="preserve"> </w:t>
      </w:r>
      <w:r w:rsidR="004615DB">
        <w:rPr>
          <w:rFonts w:cstheme="minorHAnsi"/>
        </w:rPr>
        <w:t xml:space="preserve">Novirze no </w:t>
      </w:r>
      <w:r w:rsidR="0050262B">
        <w:rPr>
          <w:rFonts w:cstheme="minorHAnsi"/>
        </w:rPr>
        <w:t>plānotā</w:t>
      </w:r>
      <w:r w:rsidR="00894DA3">
        <w:rPr>
          <w:rFonts w:cstheme="minorHAnsi"/>
        </w:rPr>
        <w:t xml:space="preserve"> (15</w:t>
      </w:r>
      <w:r w:rsidR="008B6A4D">
        <w:rPr>
          <w:rFonts w:cstheme="minorHAnsi"/>
        </w:rPr>
        <w:t>75</w:t>
      </w:r>
      <w:r w:rsidR="00894DA3">
        <w:rPr>
          <w:rFonts w:cstheme="minorHAnsi"/>
        </w:rPr>
        <w:t xml:space="preserve"> euro)</w:t>
      </w:r>
      <w:r w:rsidR="004615DB">
        <w:rPr>
          <w:rFonts w:cstheme="minorHAnsi"/>
        </w:rPr>
        <w:t xml:space="preserve">  ir nenozīmīga</w:t>
      </w:r>
      <w:r w:rsidR="00D70DED">
        <w:rPr>
          <w:rFonts w:cstheme="minorHAnsi"/>
        </w:rPr>
        <w:t xml:space="preserve"> -</w:t>
      </w:r>
      <w:r w:rsidR="004615DB">
        <w:rPr>
          <w:rFonts w:cstheme="minorHAnsi"/>
        </w:rPr>
        <w:t xml:space="preserve"> </w:t>
      </w:r>
      <w:r w:rsidR="008B6A4D">
        <w:rPr>
          <w:rFonts w:cstheme="minorHAnsi"/>
        </w:rPr>
        <w:t>12</w:t>
      </w:r>
      <w:r w:rsidR="004615DB">
        <w:rPr>
          <w:rFonts w:cstheme="minorHAnsi"/>
        </w:rPr>
        <w:t xml:space="preserve"> euro maz</w:t>
      </w:r>
      <w:r w:rsidR="00D70DED">
        <w:rPr>
          <w:rFonts w:cstheme="minorHAnsi"/>
        </w:rPr>
        <w:t>āk</w:t>
      </w:r>
      <w:r w:rsidR="001A70B2">
        <w:rPr>
          <w:rFonts w:cstheme="minorHAnsi"/>
        </w:rPr>
        <w:t>.</w:t>
      </w:r>
    </w:p>
    <w:p w14:paraId="37EF4F75" w14:textId="3F562032" w:rsidR="00316600" w:rsidRPr="003D07A2" w:rsidRDefault="00E8039B" w:rsidP="00712DD6">
      <w:pPr>
        <w:spacing w:before="100" w:beforeAutospacing="1" w:after="100" w:afterAutospacing="1"/>
        <w:jc w:val="both"/>
        <w:rPr>
          <w:rFonts w:cstheme="minorHAnsi"/>
        </w:rPr>
      </w:pPr>
      <w:r>
        <w:rPr>
          <w:rFonts w:cstheme="minorHAnsi"/>
        </w:rPr>
        <w:t xml:space="preserve">Sabiedrībai summētā darba laikā nodarbinātajiem izlīdzinātais uzskaites pārskata periods ir 4 mēneši, līdz ar to </w:t>
      </w:r>
      <w:r w:rsidR="00FC13C2">
        <w:rPr>
          <w:rFonts w:cstheme="minorHAnsi"/>
        </w:rPr>
        <w:t xml:space="preserve">1.ceturksnī virsstundas </w:t>
      </w:r>
      <w:r w:rsidR="00432F0D">
        <w:rPr>
          <w:rFonts w:cstheme="minorHAnsi"/>
        </w:rPr>
        <w:t>ir</w:t>
      </w:r>
      <w:r w:rsidR="00FC13C2">
        <w:rPr>
          <w:rFonts w:cstheme="minorHAnsi"/>
        </w:rPr>
        <w:t xml:space="preserve"> aprēķinātas</w:t>
      </w:r>
      <w:r w:rsidR="00432F0D">
        <w:rPr>
          <w:rFonts w:cstheme="minorHAnsi"/>
        </w:rPr>
        <w:t xml:space="preserve"> minimāli</w:t>
      </w:r>
      <w:r w:rsidR="00FC13C2">
        <w:rPr>
          <w:rFonts w:cstheme="minorHAnsi"/>
        </w:rPr>
        <w:t>.</w:t>
      </w:r>
      <w:r w:rsidR="004206BB">
        <w:rPr>
          <w:rFonts w:cstheme="minorHAnsi"/>
        </w:rPr>
        <w:t xml:space="preserve"> </w:t>
      </w:r>
      <w:r w:rsidR="0071130D">
        <w:rPr>
          <w:rFonts w:cstheme="minorHAnsi"/>
        </w:rPr>
        <w:t>Darbiniekiem, kuriem nav saistošs izlīdzinātais pārskata periods</w:t>
      </w:r>
      <w:r w:rsidR="00B71FF4">
        <w:rPr>
          <w:rFonts w:cstheme="minorHAnsi"/>
        </w:rPr>
        <w:t>,</w:t>
      </w:r>
      <w:r w:rsidR="0071130D">
        <w:rPr>
          <w:rFonts w:cstheme="minorHAnsi"/>
        </w:rPr>
        <w:t xml:space="preserve"> apmaksātas </w:t>
      </w:r>
      <w:r w:rsidR="00325826">
        <w:rPr>
          <w:rFonts w:cstheme="minorHAnsi"/>
        </w:rPr>
        <w:t>39</w:t>
      </w:r>
      <w:r w:rsidR="00B4679A">
        <w:rPr>
          <w:rFonts w:cstheme="minorHAnsi"/>
        </w:rPr>
        <w:t>7</w:t>
      </w:r>
      <w:r w:rsidR="00325826">
        <w:rPr>
          <w:rFonts w:cstheme="minorHAnsi"/>
        </w:rPr>
        <w:t xml:space="preserve"> ( </w:t>
      </w:r>
      <w:r w:rsidR="001A70B2">
        <w:rPr>
          <w:rFonts w:cstheme="minorHAnsi"/>
        </w:rPr>
        <w:t xml:space="preserve">2025.gadā 396; </w:t>
      </w:r>
      <w:r w:rsidR="00325826">
        <w:rPr>
          <w:rFonts w:cstheme="minorHAnsi"/>
        </w:rPr>
        <w:t xml:space="preserve">2024.gadā </w:t>
      </w:r>
      <w:r w:rsidR="00432F0D">
        <w:rPr>
          <w:rFonts w:cstheme="minorHAnsi"/>
        </w:rPr>
        <w:t>296</w:t>
      </w:r>
      <w:r w:rsidR="00325826">
        <w:rPr>
          <w:rFonts w:cstheme="minorHAnsi"/>
        </w:rPr>
        <w:t>)</w:t>
      </w:r>
      <w:r w:rsidR="0071130D">
        <w:rPr>
          <w:rFonts w:cstheme="minorHAnsi"/>
        </w:rPr>
        <w:t xml:space="preserve"> virsstundas.</w:t>
      </w:r>
    </w:p>
    <w:p w14:paraId="00AB455C" w14:textId="3BE29493" w:rsidR="001F17FA" w:rsidRDefault="001F17FA" w:rsidP="00712DD6">
      <w:pPr>
        <w:spacing w:before="100" w:beforeAutospacing="1" w:after="100" w:afterAutospacing="1"/>
        <w:jc w:val="both"/>
        <w:rPr>
          <w:rFonts w:cstheme="minorHAnsi"/>
        </w:rPr>
      </w:pPr>
      <w:r w:rsidRPr="003D07A2">
        <w:rPr>
          <w:rFonts w:cstheme="minorHAnsi"/>
        </w:rPr>
        <w:t>Izdevumi atalgojumam pārskata period</w:t>
      </w:r>
      <w:r w:rsidR="0045080D">
        <w:rPr>
          <w:rFonts w:cstheme="minorHAnsi"/>
        </w:rPr>
        <w:t>ā</w:t>
      </w:r>
      <w:r w:rsidR="009F3DBA">
        <w:rPr>
          <w:rFonts w:cstheme="minorHAnsi"/>
        </w:rPr>
        <w:t xml:space="preserve"> ir </w:t>
      </w:r>
      <w:r w:rsidR="00BB7399">
        <w:rPr>
          <w:rFonts w:cstheme="minorHAnsi"/>
        </w:rPr>
        <w:t>mazāk kā</w:t>
      </w:r>
      <w:r w:rsidR="009F3DBA">
        <w:rPr>
          <w:rFonts w:cstheme="minorHAnsi"/>
        </w:rPr>
        <w:t xml:space="preserve"> plānot</w:t>
      </w:r>
      <w:r w:rsidR="00BB7399">
        <w:rPr>
          <w:rFonts w:cstheme="minorHAnsi"/>
        </w:rPr>
        <w:t>s</w:t>
      </w:r>
      <w:r w:rsidR="009F3DBA">
        <w:rPr>
          <w:rFonts w:cstheme="minorHAnsi"/>
        </w:rPr>
        <w:t xml:space="preserve">- kopumā neizpilde ir </w:t>
      </w:r>
      <w:r w:rsidR="00B6228A">
        <w:rPr>
          <w:rFonts w:cstheme="minorHAnsi"/>
        </w:rPr>
        <w:t>81 383</w:t>
      </w:r>
      <w:r w:rsidR="009F3DBA">
        <w:rPr>
          <w:rFonts w:cstheme="minorHAnsi"/>
        </w:rPr>
        <w:t xml:space="preserve"> euro.</w:t>
      </w:r>
      <w:r w:rsidRPr="003D07A2">
        <w:rPr>
          <w:rFonts w:cstheme="minorHAnsi"/>
        </w:rPr>
        <w:t xml:space="preserve"> </w:t>
      </w:r>
      <w:r w:rsidR="009F3DBA">
        <w:rPr>
          <w:rFonts w:cstheme="minorHAnsi"/>
        </w:rPr>
        <w:t>Joprojām būt</w:t>
      </w:r>
      <w:r w:rsidR="00006A2B">
        <w:rPr>
          <w:rFonts w:cstheme="minorHAnsi"/>
        </w:rPr>
        <w:t xml:space="preserve">iska nozīme ir darbinieku </w:t>
      </w:r>
      <w:r w:rsidRPr="003D07A2">
        <w:rPr>
          <w:rFonts w:cstheme="minorHAnsi"/>
        </w:rPr>
        <w:t xml:space="preserve"> darba nespēj</w:t>
      </w:r>
      <w:r w:rsidR="00006A2B">
        <w:rPr>
          <w:rFonts w:cstheme="minorHAnsi"/>
        </w:rPr>
        <w:t>ai</w:t>
      </w:r>
      <w:r w:rsidRPr="003D07A2">
        <w:rPr>
          <w:rFonts w:cstheme="minorHAnsi"/>
        </w:rPr>
        <w:t xml:space="preserve"> </w:t>
      </w:r>
      <w:r w:rsidR="00712DD6" w:rsidRPr="003D07A2">
        <w:rPr>
          <w:rFonts w:cstheme="minorHAnsi"/>
        </w:rPr>
        <w:t xml:space="preserve">– </w:t>
      </w:r>
      <w:r w:rsidRPr="003D07A2">
        <w:rPr>
          <w:rFonts w:cstheme="minorHAnsi"/>
        </w:rPr>
        <w:t xml:space="preserve">pārskata periodā kopā </w:t>
      </w:r>
      <w:r w:rsidR="00690DCD">
        <w:rPr>
          <w:rFonts w:cstheme="minorHAnsi"/>
        </w:rPr>
        <w:t>13 370.1</w:t>
      </w:r>
      <w:r w:rsidR="0069025A">
        <w:rPr>
          <w:rFonts w:cstheme="minorHAnsi"/>
        </w:rPr>
        <w:t xml:space="preserve"> h</w:t>
      </w:r>
      <w:r w:rsidRPr="003D07A2">
        <w:rPr>
          <w:rFonts w:cstheme="minorHAnsi"/>
        </w:rPr>
        <w:t xml:space="preserve"> B lapas (</w:t>
      </w:r>
      <w:r w:rsidR="00C34571">
        <w:rPr>
          <w:rFonts w:cstheme="minorHAnsi"/>
        </w:rPr>
        <w:t xml:space="preserve">2025.gadā </w:t>
      </w:r>
      <w:r w:rsidR="00690DCD">
        <w:rPr>
          <w:rFonts w:cstheme="minorHAnsi"/>
        </w:rPr>
        <w:t xml:space="preserve">14 083.8h; </w:t>
      </w:r>
      <w:r w:rsidR="00B6228A">
        <w:rPr>
          <w:rFonts w:cstheme="minorHAnsi"/>
        </w:rPr>
        <w:t xml:space="preserve">2024.gadā </w:t>
      </w:r>
      <w:r w:rsidR="009A5C7A">
        <w:rPr>
          <w:rFonts w:cstheme="minorHAnsi"/>
        </w:rPr>
        <w:t xml:space="preserve">17 931.6h; </w:t>
      </w:r>
      <w:r w:rsidR="00BB7399">
        <w:rPr>
          <w:rFonts w:cstheme="minorHAnsi"/>
        </w:rPr>
        <w:t xml:space="preserve">2023.gadā 10 526.6 h; </w:t>
      </w:r>
      <w:r w:rsidR="001274D0">
        <w:rPr>
          <w:rFonts w:cstheme="minorHAnsi"/>
        </w:rPr>
        <w:t>2022.gadā – 27 846.8</w:t>
      </w:r>
      <w:r w:rsidR="0069025A">
        <w:rPr>
          <w:rFonts w:cstheme="minorHAnsi"/>
        </w:rPr>
        <w:t xml:space="preserve">h; </w:t>
      </w:r>
      <w:r w:rsidR="001B6F79">
        <w:rPr>
          <w:rFonts w:cstheme="minorHAnsi"/>
        </w:rPr>
        <w:t xml:space="preserve">2021.gadā – 30 401 h; </w:t>
      </w:r>
      <w:r w:rsidRPr="003D07A2">
        <w:rPr>
          <w:rFonts w:cstheme="minorHAnsi"/>
        </w:rPr>
        <w:t>20</w:t>
      </w:r>
      <w:r w:rsidR="00937CAF">
        <w:rPr>
          <w:rFonts w:cstheme="minorHAnsi"/>
        </w:rPr>
        <w:t>20</w:t>
      </w:r>
      <w:r w:rsidRPr="003D07A2">
        <w:rPr>
          <w:rFonts w:cstheme="minorHAnsi"/>
        </w:rPr>
        <w:t>.gadā -</w:t>
      </w:r>
      <w:r w:rsidR="00937CAF">
        <w:rPr>
          <w:rFonts w:cstheme="minorHAnsi"/>
        </w:rPr>
        <w:t>12492.5</w:t>
      </w:r>
      <w:r w:rsidRPr="003D07A2">
        <w:rPr>
          <w:rFonts w:cstheme="minorHAnsi"/>
        </w:rPr>
        <w:t xml:space="preserve"> h).</w:t>
      </w:r>
    </w:p>
    <w:p w14:paraId="3B7C436B" w14:textId="0925D3FE" w:rsidR="001858B8" w:rsidRPr="003D07A2" w:rsidRDefault="001858B8" w:rsidP="00712DD6">
      <w:pPr>
        <w:spacing w:before="100" w:beforeAutospacing="1" w:after="100" w:afterAutospacing="1"/>
        <w:jc w:val="both"/>
        <w:rPr>
          <w:rFonts w:cstheme="minorHAnsi"/>
        </w:rPr>
      </w:pPr>
      <w:r w:rsidRPr="001858B8">
        <w:rPr>
          <w:rFonts w:cstheme="minorHAnsi"/>
        </w:rPr>
        <w:lastRenderedPageBreak/>
        <w:t>DNL A lapas  7184.7 h: ārsti 974.7h; māsas 1044.5h; māsu palīgi 1653h, pārējie 3512.5h (kopā 2025.gadā 6706h; 2024.gadā 6630 h; 2023.gadā 5796 h; 2022.gadā 6780h)</w:t>
      </w:r>
      <w:r>
        <w:rPr>
          <w:rFonts w:cstheme="minorHAnsi"/>
        </w:rPr>
        <w:t>.</w:t>
      </w:r>
    </w:p>
    <w:p w14:paraId="5058EE26" w14:textId="67119523" w:rsidR="00603C3A" w:rsidRPr="003D07A2" w:rsidRDefault="00603C3A" w:rsidP="00712DD6">
      <w:pPr>
        <w:spacing w:before="100" w:beforeAutospacing="1" w:after="100" w:afterAutospacing="1"/>
        <w:jc w:val="center"/>
        <w:rPr>
          <w:rFonts w:cstheme="minorHAnsi"/>
          <w:b/>
          <w:bCs/>
        </w:rPr>
      </w:pPr>
      <w:r w:rsidRPr="003D07A2">
        <w:rPr>
          <w:rFonts w:cstheme="minorHAnsi"/>
          <w:b/>
          <w:bCs/>
        </w:rPr>
        <w:t>Vidējā darba samaksa, euro uz slodzi</w:t>
      </w:r>
    </w:p>
    <w:tbl>
      <w:tblPr>
        <w:tblStyle w:val="Reatabula"/>
        <w:tblW w:w="8914" w:type="dxa"/>
        <w:tblLayout w:type="fixed"/>
        <w:tblLook w:val="04A0" w:firstRow="1" w:lastRow="0" w:firstColumn="1" w:lastColumn="0" w:noHBand="0" w:noVBand="1"/>
      </w:tblPr>
      <w:tblGrid>
        <w:gridCol w:w="3064"/>
        <w:gridCol w:w="1326"/>
        <w:gridCol w:w="1167"/>
        <w:gridCol w:w="1242"/>
        <w:gridCol w:w="993"/>
        <w:gridCol w:w="1122"/>
      </w:tblGrid>
      <w:tr w:rsidR="00BB7399" w:rsidRPr="003D07A2" w14:paraId="14F426FB" w14:textId="77777777" w:rsidTr="00BB7399">
        <w:trPr>
          <w:trHeight w:val="844"/>
        </w:trPr>
        <w:tc>
          <w:tcPr>
            <w:tcW w:w="3064" w:type="dxa"/>
            <w:vAlign w:val="center"/>
          </w:tcPr>
          <w:p w14:paraId="7EB4F6DA" w14:textId="77777777" w:rsidR="00BB7399" w:rsidRPr="003D07A2" w:rsidRDefault="00BB7399" w:rsidP="00BB7399">
            <w:pPr>
              <w:jc w:val="center"/>
              <w:rPr>
                <w:rFonts w:cstheme="minorHAnsi"/>
              </w:rPr>
            </w:pPr>
            <w:r w:rsidRPr="003D07A2">
              <w:rPr>
                <w:rFonts w:cstheme="minorHAnsi"/>
              </w:rPr>
              <w:t>Darbinieku kategorija</w:t>
            </w:r>
          </w:p>
        </w:tc>
        <w:tc>
          <w:tcPr>
            <w:tcW w:w="1326" w:type="dxa"/>
            <w:vAlign w:val="center"/>
          </w:tcPr>
          <w:p w14:paraId="52648F77" w14:textId="0E1478C7" w:rsidR="00BB7399" w:rsidRPr="003D07A2" w:rsidRDefault="00BB7399" w:rsidP="00BB7399">
            <w:pPr>
              <w:jc w:val="center"/>
              <w:rPr>
                <w:rFonts w:cstheme="minorHAnsi"/>
                <w:sz w:val="18"/>
                <w:szCs w:val="18"/>
              </w:rPr>
            </w:pPr>
            <w:r w:rsidRPr="003D07A2">
              <w:rPr>
                <w:rFonts w:cstheme="minorHAnsi"/>
                <w:sz w:val="18"/>
                <w:szCs w:val="18"/>
              </w:rPr>
              <w:t>202</w:t>
            </w:r>
            <w:r w:rsidR="001858B8">
              <w:rPr>
                <w:rFonts w:cstheme="minorHAnsi"/>
                <w:sz w:val="18"/>
                <w:szCs w:val="18"/>
              </w:rPr>
              <w:t>5</w:t>
            </w:r>
            <w:r w:rsidRPr="003D07A2">
              <w:rPr>
                <w:rFonts w:cstheme="minorHAnsi"/>
                <w:sz w:val="18"/>
                <w:szCs w:val="18"/>
              </w:rPr>
              <w:t>.gada fakts</w:t>
            </w:r>
          </w:p>
        </w:tc>
        <w:tc>
          <w:tcPr>
            <w:tcW w:w="1167" w:type="dxa"/>
            <w:vAlign w:val="center"/>
          </w:tcPr>
          <w:p w14:paraId="5FA91851" w14:textId="0232CBC4" w:rsidR="00BB7399" w:rsidRPr="003D07A2" w:rsidRDefault="00BB7399" w:rsidP="00BB7399">
            <w:pPr>
              <w:jc w:val="center"/>
              <w:rPr>
                <w:rFonts w:cstheme="minorHAnsi"/>
                <w:sz w:val="18"/>
                <w:szCs w:val="18"/>
              </w:rPr>
            </w:pPr>
            <w:r w:rsidRPr="003D07A2">
              <w:rPr>
                <w:rFonts w:cstheme="minorHAnsi"/>
                <w:sz w:val="18"/>
                <w:szCs w:val="18"/>
              </w:rPr>
              <w:t>202</w:t>
            </w:r>
            <w:r w:rsidR="001858B8">
              <w:rPr>
                <w:rFonts w:cstheme="minorHAnsi"/>
                <w:sz w:val="18"/>
                <w:szCs w:val="18"/>
              </w:rPr>
              <w:t>6</w:t>
            </w:r>
            <w:r w:rsidRPr="003D07A2">
              <w:rPr>
                <w:rFonts w:cstheme="minorHAnsi"/>
                <w:sz w:val="18"/>
                <w:szCs w:val="18"/>
              </w:rPr>
              <w:t xml:space="preserve">.gada </w:t>
            </w:r>
            <w:r>
              <w:rPr>
                <w:rFonts w:cstheme="minorHAnsi"/>
                <w:sz w:val="18"/>
                <w:szCs w:val="18"/>
              </w:rPr>
              <w:t>plāns</w:t>
            </w:r>
          </w:p>
        </w:tc>
        <w:tc>
          <w:tcPr>
            <w:tcW w:w="1242" w:type="dxa"/>
            <w:vAlign w:val="center"/>
          </w:tcPr>
          <w:p w14:paraId="7516CE70" w14:textId="65A27FFB" w:rsidR="00BB7399" w:rsidRPr="003D07A2" w:rsidRDefault="00BB7399" w:rsidP="00BB7399">
            <w:pPr>
              <w:jc w:val="center"/>
              <w:rPr>
                <w:rFonts w:cstheme="minorHAnsi"/>
                <w:sz w:val="18"/>
                <w:szCs w:val="18"/>
              </w:rPr>
            </w:pPr>
            <w:r w:rsidRPr="003D07A2">
              <w:rPr>
                <w:rFonts w:cstheme="minorHAnsi"/>
                <w:sz w:val="18"/>
                <w:szCs w:val="18"/>
              </w:rPr>
              <w:t>202</w:t>
            </w:r>
            <w:r w:rsidR="001858B8">
              <w:rPr>
                <w:rFonts w:cstheme="minorHAnsi"/>
                <w:sz w:val="18"/>
                <w:szCs w:val="18"/>
              </w:rPr>
              <w:t>6</w:t>
            </w:r>
            <w:r w:rsidRPr="003D07A2">
              <w:rPr>
                <w:rFonts w:cstheme="minorHAnsi"/>
                <w:sz w:val="18"/>
                <w:szCs w:val="18"/>
              </w:rPr>
              <w:t>.gada fakts</w:t>
            </w:r>
          </w:p>
        </w:tc>
        <w:tc>
          <w:tcPr>
            <w:tcW w:w="993" w:type="dxa"/>
            <w:vAlign w:val="center"/>
          </w:tcPr>
          <w:p w14:paraId="06FA97ED" w14:textId="573D21E7" w:rsidR="00BB7399" w:rsidRPr="003D07A2" w:rsidRDefault="00BB7399" w:rsidP="00BB7399">
            <w:pPr>
              <w:jc w:val="center"/>
              <w:rPr>
                <w:rFonts w:cstheme="minorHAnsi"/>
                <w:sz w:val="18"/>
                <w:szCs w:val="18"/>
              </w:rPr>
            </w:pPr>
            <w:r w:rsidRPr="003D07A2">
              <w:rPr>
                <w:rFonts w:cstheme="minorHAnsi"/>
                <w:sz w:val="18"/>
                <w:szCs w:val="18"/>
              </w:rPr>
              <w:t>MK not.Nr. 555, tarifā</w:t>
            </w:r>
            <w:r>
              <w:rPr>
                <w:rFonts w:cstheme="minorHAnsi"/>
                <w:sz w:val="18"/>
                <w:szCs w:val="18"/>
              </w:rPr>
              <w:t xml:space="preserve"> </w:t>
            </w:r>
          </w:p>
        </w:tc>
        <w:tc>
          <w:tcPr>
            <w:tcW w:w="1122" w:type="dxa"/>
            <w:vAlign w:val="center"/>
          </w:tcPr>
          <w:p w14:paraId="56A30EAD" w14:textId="011A9633" w:rsidR="00BB7399" w:rsidRPr="003D07A2" w:rsidRDefault="00BB7399" w:rsidP="00BB7399">
            <w:pPr>
              <w:jc w:val="center"/>
              <w:rPr>
                <w:rFonts w:cstheme="minorHAnsi"/>
                <w:sz w:val="18"/>
                <w:szCs w:val="18"/>
              </w:rPr>
            </w:pPr>
            <w:r w:rsidRPr="003D07A2">
              <w:rPr>
                <w:rFonts w:cstheme="minorHAnsi"/>
                <w:sz w:val="18"/>
                <w:szCs w:val="18"/>
              </w:rPr>
              <w:t>Novirze pret 20</w:t>
            </w:r>
            <w:r>
              <w:rPr>
                <w:rFonts w:cstheme="minorHAnsi"/>
                <w:sz w:val="18"/>
                <w:szCs w:val="18"/>
              </w:rPr>
              <w:t>2</w:t>
            </w:r>
            <w:r w:rsidR="001858B8">
              <w:rPr>
                <w:rFonts w:cstheme="minorHAnsi"/>
                <w:sz w:val="18"/>
                <w:szCs w:val="18"/>
              </w:rPr>
              <w:t>5</w:t>
            </w:r>
            <w:r w:rsidRPr="003D07A2">
              <w:rPr>
                <w:rFonts w:cstheme="minorHAnsi"/>
                <w:sz w:val="18"/>
                <w:szCs w:val="18"/>
              </w:rPr>
              <w:t>.g</w:t>
            </w:r>
          </w:p>
        </w:tc>
      </w:tr>
      <w:tr w:rsidR="001858B8" w:rsidRPr="003D07A2" w14:paraId="12EBCEF8" w14:textId="77777777" w:rsidTr="00BB7399">
        <w:trPr>
          <w:trHeight w:val="429"/>
        </w:trPr>
        <w:tc>
          <w:tcPr>
            <w:tcW w:w="3064" w:type="dxa"/>
          </w:tcPr>
          <w:p w14:paraId="758825ED" w14:textId="77777777" w:rsidR="001858B8" w:rsidRPr="003D07A2" w:rsidRDefault="001858B8" w:rsidP="001858B8">
            <w:pPr>
              <w:rPr>
                <w:rFonts w:cstheme="minorHAnsi"/>
              </w:rPr>
            </w:pPr>
            <w:r w:rsidRPr="003D07A2">
              <w:rPr>
                <w:rFonts w:cstheme="minorHAnsi"/>
              </w:rPr>
              <w:t>Ārsti, tai skaitā funkcionālie speciālisti</w:t>
            </w:r>
          </w:p>
        </w:tc>
        <w:tc>
          <w:tcPr>
            <w:tcW w:w="1326" w:type="dxa"/>
          </w:tcPr>
          <w:p w14:paraId="262BB661" w14:textId="037C3024" w:rsidR="001858B8" w:rsidRDefault="001858B8" w:rsidP="001858B8">
            <w:pPr>
              <w:jc w:val="center"/>
              <w:rPr>
                <w:rFonts w:cstheme="minorHAnsi"/>
              </w:rPr>
            </w:pPr>
            <w:r>
              <w:rPr>
                <w:rFonts w:cstheme="minorHAnsi"/>
              </w:rPr>
              <w:t>3112</w:t>
            </w:r>
          </w:p>
        </w:tc>
        <w:tc>
          <w:tcPr>
            <w:tcW w:w="1167" w:type="dxa"/>
          </w:tcPr>
          <w:p w14:paraId="121C840A" w14:textId="390D62EF" w:rsidR="001858B8" w:rsidRPr="003D07A2" w:rsidRDefault="003A719B" w:rsidP="001858B8">
            <w:pPr>
              <w:jc w:val="center"/>
              <w:rPr>
                <w:rFonts w:cstheme="minorHAnsi"/>
              </w:rPr>
            </w:pPr>
            <w:r>
              <w:rPr>
                <w:rFonts w:cstheme="minorHAnsi"/>
              </w:rPr>
              <w:t>3104</w:t>
            </w:r>
          </w:p>
        </w:tc>
        <w:tc>
          <w:tcPr>
            <w:tcW w:w="1242" w:type="dxa"/>
          </w:tcPr>
          <w:p w14:paraId="6B022071" w14:textId="30E6A945" w:rsidR="001858B8" w:rsidRPr="003D07A2" w:rsidRDefault="003A719B" w:rsidP="001858B8">
            <w:pPr>
              <w:jc w:val="center"/>
              <w:rPr>
                <w:rFonts w:cstheme="minorHAnsi"/>
              </w:rPr>
            </w:pPr>
            <w:r>
              <w:rPr>
                <w:rFonts w:cstheme="minorHAnsi"/>
              </w:rPr>
              <w:t>3132</w:t>
            </w:r>
          </w:p>
        </w:tc>
        <w:tc>
          <w:tcPr>
            <w:tcW w:w="993" w:type="dxa"/>
          </w:tcPr>
          <w:p w14:paraId="4BA3715B" w14:textId="2C9E6CE2" w:rsidR="001858B8" w:rsidRPr="003D07A2" w:rsidRDefault="001858B8" w:rsidP="001858B8">
            <w:pPr>
              <w:jc w:val="center"/>
              <w:rPr>
                <w:rFonts w:cstheme="minorHAnsi"/>
              </w:rPr>
            </w:pPr>
            <w:r>
              <w:rPr>
                <w:rFonts w:cstheme="minorHAnsi"/>
              </w:rPr>
              <w:t>2304</w:t>
            </w:r>
          </w:p>
        </w:tc>
        <w:tc>
          <w:tcPr>
            <w:tcW w:w="1122" w:type="dxa"/>
          </w:tcPr>
          <w:p w14:paraId="584095E3" w14:textId="30359E52" w:rsidR="001858B8" w:rsidRPr="003D07A2" w:rsidRDefault="001858B8" w:rsidP="001858B8">
            <w:pPr>
              <w:jc w:val="center"/>
              <w:rPr>
                <w:rFonts w:cstheme="minorHAnsi"/>
              </w:rPr>
            </w:pPr>
            <w:r>
              <w:rPr>
                <w:rFonts w:cstheme="minorHAnsi"/>
              </w:rPr>
              <w:t>+</w:t>
            </w:r>
            <w:r w:rsidR="003A719B">
              <w:rPr>
                <w:rFonts w:cstheme="minorHAnsi"/>
              </w:rPr>
              <w:t>20</w:t>
            </w:r>
          </w:p>
        </w:tc>
      </w:tr>
      <w:tr w:rsidR="001858B8" w:rsidRPr="003D07A2" w14:paraId="650F1022" w14:textId="77777777" w:rsidTr="00BB7399">
        <w:trPr>
          <w:trHeight w:val="414"/>
        </w:trPr>
        <w:tc>
          <w:tcPr>
            <w:tcW w:w="3064" w:type="dxa"/>
          </w:tcPr>
          <w:p w14:paraId="7B6FBD88" w14:textId="77777777" w:rsidR="001858B8" w:rsidRPr="003D07A2" w:rsidRDefault="001858B8" w:rsidP="001858B8">
            <w:pPr>
              <w:rPr>
                <w:rFonts w:cstheme="minorHAnsi"/>
              </w:rPr>
            </w:pPr>
            <w:r w:rsidRPr="003D07A2">
              <w:rPr>
                <w:rFonts w:cstheme="minorHAnsi"/>
              </w:rPr>
              <w:t>Ārstniecības un pacientu aprūpes personāls</w:t>
            </w:r>
          </w:p>
        </w:tc>
        <w:tc>
          <w:tcPr>
            <w:tcW w:w="1326" w:type="dxa"/>
          </w:tcPr>
          <w:p w14:paraId="0BDAB426" w14:textId="5EDFC29B" w:rsidR="001858B8" w:rsidRDefault="001858B8" w:rsidP="001858B8">
            <w:pPr>
              <w:jc w:val="center"/>
              <w:rPr>
                <w:rFonts w:cstheme="minorHAnsi"/>
              </w:rPr>
            </w:pPr>
            <w:r>
              <w:rPr>
                <w:rFonts w:cstheme="minorHAnsi"/>
              </w:rPr>
              <w:t>1828</w:t>
            </w:r>
          </w:p>
        </w:tc>
        <w:tc>
          <w:tcPr>
            <w:tcW w:w="1167" w:type="dxa"/>
          </w:tcPr>
          <w:p w14:paraId="569E580A" w14:textId="7C76A742" w:rsidR="001858B8" w:rsidRPr="003D07A2" w:rsidRDefault="001858B8" w:rsidP="001858B8">
            <w:pPr>
              <w:jc w:val="center"/>
              <w:rPr>
                <w:rFonts w:cstheme="minorHAnsi"/>
              </w:rPr>
            </w:pPr>
            <w:r>
              <w:rPr>
                <w:rFonts w:cstheme="minorHAnsi"/>
              </w:rPr>
              <w:t>183</w:t>
            </w:r>
            <w:r w:rsidR="003A719B">
              <w:rPr>
                <w:rFonts w:cstheme="minorHAnsi"/>
              </w:rPr>
              <w:t>9</w:t>
            </w:r>
          </w:p>
        </w:tc>
        <w:tc>
          <w:tcPr>
            <w:tcW w:w="1242" w:type="dxa"/>
          </w:tcPr>
          <w:p w14:paraId="13A4584B" w14:textId="01659E2F" w:rsidR="001858B8" w:rsidRPr="003D07A2" w:rsidRDefault="003A719B" w:rsidP="001858B8">
            <w:pPr>
              <w:jc w:val="center"/>
              <w:rPr>
                <w:rFonts w:cstheme="minorHAnsi"/>
              </w:rPr>
            </w:pPr>
            <w:r>
              <w:rPr>
                <w:rFonts w:cstheme="minorHAnsi"/>
              </w:rPr>
              <w:t>1852</w:t>
            </w:r>
          </w:p>
        </w:tc>
        <w:tc>
          <w:tcPr>
            <w:tcW w:w="993" w:type="dxa"/>
          </w:tcPr>
          <w:p w14:paraId="22DBF4DD" w14:textId="680F455F" w:rsidR="001858B8" w:rsidRPr="003D07A2" w:rsidRDefault="001858B8" w:rsidP="001858B8">
            <w:pPr>
              <w:jc w:val="center"/>
              <w:rPr>
                <w:rFonts w:cstheme="minorHAnsi"/>
              </w:rPr>
            </w:pPr>
            <w:r>
              <w:rPr>
                <w:rFonts w:cstheme="minorHAnsi"/>
              </w:rPr>
              <w:t>1385</w:t>
            </w:r>
          </w:p>
        </w:tc>
        <w:tc>
          <w:tcPr>
            <w:tcW w:w="1122" w:type="dxa"/>
          </w:tcPr>
          <w:p w14:paraId="6B4D7DED" w14:textId="7EB432E0" w:rsidR="001858B8" w:rsidRPr="003D07A2" w:rsidRDefault="003A719B" w:rsidP="001858B8">
            <w:pPr>
              <w:jc w:val="center"/>
              <w:rPr>
                <w:rFonts w:cstheme="minorHAnsi"/>
              </w:rPr>
            </w:pPr>
            <w:r>
              <w:rPr>
                <w:rFonts w:cstheme="minorHAnsi"/>
              </w:rPr>
              <w:t>+24</w:t>
            </w:r>
          </w:p>
        </w:tc>
      </w:tr>
      <w:tr w:rsidR="001858B8" w:rsidRPr="003D07A2" w14:paraId="037ECC7E" w14:textId="77777777" w:rsidTr="00BB7399">
        <w:trPr>
          <w:trHeight w:val="414"/>
        </w:trPr>
        <w:tc>
          <w:tcPr>
            <w:tcW w:w="3064" w:type="dxa"/>
          </w:tcPr>
          <w:p w14:paraId="0DEAE662" w14:textId="77777777" w:rsidR="001858B8" w:rsidRPr="003D07A2" w:rsidRDefault="001858B8" w:rsidP="001858B8">
            <w:pPr>
              <w:rPr>
                <w:rFonts w:cstheme="minorHAnsi"/>
              </w:rPr>
            </w:pPr>
            <w:r w:rsidRPr="003D07A2">
              <w:rPr>
                <w:rFonts w:cstheme="minorHAnsi"/>
              </w:rPr>
              <w:t>Ārstniecības un pacientu aprūpes atbalsta personāls</w:t>
            </w:r>
          </w:p>
        </w:tc>
        <w:tc>
          <w:tcPr>
            <w:tcW w:w="1326" w:type="dxa"/>
          </w:tcPr>
          <w:p w14:paraId="3E3A1700" w14:textId="431A166E" w:rsidR="001858B8" w:rsidRDefault="001858B8" w:rsidP="001858B8">
            <w:pPr>
              <w:jc w:val="center"/>
              <w:rPr>
                <w:rFonts w:cstheme="minorHAnsi"/>
              </w:rPr>
            </w:pPr>
            <w:r>
              <w:rPr>
                <w:rFonts w:cstheme="minorHAnsi"/>
              </w:rPr>
              <w:t>1125</w:t>
            </w:r>
          </w:p>
        </w:tc>
        <w:tc>
          <w:tcPr>
            <w:tcW w:w="1167" w:type="dxa"/>
          </w:tcPr>
          <w:p w14:paraId="7AEDFB89" w14:textId="1F7A28F8" w:rsidR="001858B8" w:rsidRPr="003D07A2" w:rsidRDefault="001858B8" w:rsidP="001858B8">
            <w:pPr>
              <w:jc w:val="center"/>
              <w:rPr>
                <w:rFonts w:cstheme="minorHAnsi"/>
              </w:rPr>
            </w:pPr>
            <w:r>
              <w:rPr>
                <w:rFonts w:cstheme="minorHAnsi"/>
              </w:rPr>
              <w:t>11</w:t>
            </w:r>
            <w:r w:rsidR="003A719B">
              <w:rPr>
                <w:rFonts w:cstheme="minorHAnsi"/>
              </w:rPr>
              <w:t>53</w:t>
            </w:r>
          </w:p>
        </w:tc>
        <w:tc>
          <w:tcPr>
            <w:tcW w:w="1242" w:type="dxa"/>
          </w:tcPr>
          <w:p w14:paraId="16D7A07F" w14:textId="0FA89E9B" w:rsidR="001858B8" w:rsidRPr="003D07A2" w:rsidRDefault="003A719B" w:rsidP="001858B8">
            <w:pPr>
              <w:jc w:val="center"/>
              <w:rPr>
                <w:rFonts w:cstheme="minorHAnsi"/>
              </w:rPr>
            </w:pPr>
            <w:r>
              <w:rPr>
                <w:rFonts w:cstheme="minorHAnsi"/>
              </w:rPr>
              <w:t>1115</w:t>
            </w:r>
          </w:p>
        </w:tc>
        <w:tc>
          <w:tcPr>
            <w:tcW w:w="993" w:type="dxa"/>
          </w:tcPr>
          <w:p w14:paraId="6934E700" w14:textId="472E4530" w:rsidR="001858B8" w:rsidRPr="003D07A2" w:rsidRDefault="001858B8" w:rsidP="001858B8">
            <w:pPr>
              <w:jc w:val="center"/>
              <w:rPr>
                <w:rFonts w:cstheme="minorHAnsi"/>
              </w:rPr>
            </w:pPr>
            <w:r>
              <w:rPr>
                <w:rFonts w:cstheme="minorHAnsi"/>
              </w:rPr>
              <w:t>925</w:t>
            </w:r>
          </w:p>
        </w:tc>
        <w:tc>
          <w:tcPr>
            <w:tcW w:w="1122" w:type="dxa"/>
          </w:tcPr>
          <w:p w14:paraId="2D8ED40D" w14:textId="2E84237D" w:rsidR="001858B8" w:rsidRPr="003D07A2" w:rsidRDefault="001858B8" w:rsidP="001858B8">
            <w:pPr>
              <w:jc w:val="center"/>
              <w:rPr>
                <w:rFonts w:cstheme="minorHAnsi"/>
              </w:rPr>
            </w:pPr>
            <w:r>
              <w:rPr>
                <w:rFonts w:cstheme="minorHAnsi"/>
              </w:rPr>
              <w:t>-</w:t>
            </w:r>
            <w:r w:rsidR="003A719B">
              <w:rPr>
                <w:rFonts w:cstheme="minorHAnsi"/>
              </w:rPr>
              <w:t>10</w:t>
            </w:r>
          </w:p>
        </w:tc>
      </w:tr>
      <w:tr w:rsidR="001858B8" w:rsidRPr="003D07A2" w14:paraId="3769B045" w14:textId="77777777" w:rsidTr="00BB7399">
        <w:trPr>
          <w:trHeight w:val="207"/>
        </w:trPr>
        <w:tc>
          <w:tcPr>
            <w:tcW w:w="3064" w:type="dxa"/>
          </w:tcPr>
          <w:p w14:paraId="3277A4F6" w14:textId="77777777" w:rsidR="001858B8" w:rsidRPr="003D07A2" w:rsidRDefault="001858B8" w:rsidP="001858B8">
            <w:pPr>
              <w:rPr>
                <w:rFonts w:cstheme="minorHAnsi"/>
              </w:rPr>
            </w:pPr>
            <w:r w:rsidRPr="003D07A2">
              <w:rPr>
                <w:rFonts w:cstheme="minorHAnsi"/>
              </w:rPr>
              <w:t>Administrācija</w:t>
            </w:r>
          </w:p>
        </w:tc>
        <w:tc>
          <w:tcPr>
            <w:tcW w:w="1326" w:type="dxa"/>
          </w:tcPr>
          <w:p w14:paraId="3DA2396B" w14:textId="2A75994B" w:rsidR="001858B8" w:rsidRDefault="001858B8" w:rsidP="001858B8">
            <w:pPr>
              <w:jc w:val="center"/>
              <w:rPr>
                <w:rFonts w:cstheme="minorHAnsi"/>
              </w:rPr>
            </w:pPr>
            <w:r>
              <w:rPr>
                <w:rFonts w:cstheme="minorHAnsi"/>
              </w:rPr>
              <w:t>2626</w:t>
            </w:r>
          </w:p>
        </w:tc>
        <w:tc>
          <w:tcPr>
            <w:tcW w:w="1167" w:type="dxa"/>
          </w:tcPr>
          <w:p w14:paraId="2D4F220E" w14:textId="37FB29C0" w:rsidR="001858B8" w:rsidRPr="003D07A2" w:rsidRDefault="003A719B" w:rsidP="001858B8">
            <w:pPr>
              <w:jc w:val="center"/>
              <w:rPr>
                <w:rFonts w:cstheme="minorHAnsi"/>
              </w:rPr>
            </w:pPr>
            <w:r>
              <w:rPr>
                <w:rFonts w:cstheme="minorHAnsi"/>
              </w:rPr>
              <w:t>2642</w:t>
            </w:r>
          </w:p>
        </w:tc>
        <w:tc>
          <w:tcPr>
            <w:tcW w:w="1242" w:type="dxa"/>
          </w:tcPr>
          <w:p w14:paraId="4FDA5099" w14:textId="64D7A1CA" w:rsidR="001858B8" w:rsidRPr="003D07A2" w:rsidRDefault="001858B8" w:rsidP="001858B8">
            <w:pPr>
              <w:jc w:val="center"/>
              <w:rPr>
                <w:rFonts w:cstheme="minorHAnsi"/>
              </w:rPr>
            </w:pPr>
            <w:r>
              <w:rPr>
                <w:rFonts w:cstheme="minorHAnsi"/>
              </w:rPr>
              <w:t>26</w:t>
            </w:r>
            <w:r w:rsidR="003A719B">
              <w:rPr>
                <w:rFonts w:cstheme="minorHAnsi"/>
              </w:rPr>
              <w:t>32</w:t>
            </w:r>
          </w:p>
        </w:tc>
        <w:tc>
          <w:tcPr>
            <w:tcW w:w="993" w:type="dxa"/>
          </w:tcPr>
          <w:p w14:paraId="0552CB70" w14:textId="77777777" w:rsidR="001858B8" w:rsidRPr="003D07A2" w:rsidRDefault="001858B8" w:rsidP="001858B8">
            <w:pPr>
              <w:jc w:val="center"/>
              <w:rPr>
                <w:rFonts w:cstheme="minorHAnsi"/>
              </w:rPr>
            </w:pPr>
            <w:r w:rsidRPr="003D07A2">
              <w:rPr>
                <w:rFonts w:cstheme="minorHAnsi"/>
              </w:rPr>
              <w:t>x</w:t>
            </w:r>
          </w:p>
        </w:tc>
        <w:tc>
          <w:tcPr>
            <w:tcW w:w="1122" w:type="dxa"/>
          </w:tcPr>
          <w:p w14:paraId="54533099" w14:textId="520575CE" w:rsidR="001858B8" w:rsidRPr="003D07A2" w:rsidRDefault="001858B8" w:rsidP="001858B8">
            <w:pPr>
              <w:jc w:val="center"/>
              <w:rPr>
                <w:rFonts w:cstheme="minorHAnsi"/>
              </w:rPr>
            </w:pPr>
            <w:r>
              <w:rPr>
                <w:rFonts w:cstheme="minorHAnsi"/>
              </w:rPr>
              <w:t>+</w:t>
            </w:r>
            <w:r w:rsidR="003A719B">
              <w:rPr>
                <w:rFonts w:cstheme="minorHAnsi"/>
              </w:rPr>
              <w:t>6</w:t>
            </w:r>
          </w:p>
        </w:tc>
      </w:tr>
      <w:tr w:rsidR="001858B8" w:rsidRPr="003D07A2" w14:paraId="02AA56E8" w14:textId="77777777" w:rsidTr="00BB7399">
        <w:trPr>
          <w:trHeight w:val="207"/>
        </w:trPr>
        <w:tc>
          <w:tcPr>
            <w:tcW w:w="3064" w:type="dxa"/>
          </w:tcPr>
          <w:p w14:paraId="6C9C06D4" w14:textId="77777777" w:rsidR="001858B8" w:rsidRPr="003D07A2" w:rsidRDefault="001858B8" w:rsidP="001858B8">
            <w:pPr>
              <w:rPr>
                <w:rFonts w:cstheme="minorHAnsi"/>
              </w:rPr>
            </w:pPr>
            <w:r w:rsidRPr="003D07A2">
              <w:rPr>
                <w:rFonts w:cstheme="minorHAnsi"/>
              </w:rPr>
              <w:t>Pārējie darbinieki</w:t>
            </w:r>
          </w:p>
        </w:tc>
        <w:tc>
          <w:tcPr>
            <w:tcW w:w="1326" w:type="dxa"/>
          </w:tcPr>
          <w:p w14:paraId="6BAC098C" w14:textId="541D49D4" w:rsidR="001858B8" w:rsidRDefault="001858B8" w:rsidP="001858B8">
            <w:pPr>
              <w:jc w:val="center"/>
              <w:rPr>
                <w:rFonts w:cstheme="minorHAnsi"/>
              </w:rPr>
            </w:pPr>
            <w:r>
              <w:rPr>
                <w:rFonts w:cstheme="minorHAnsi"/>
              </w:rPr>
              <w:t>1051</w:t>
            </w:r>
          </w:p>
        </w:tc>
        <w:tc>
          <w:tcPr>
            <w:tcW w:w="1167" w:type="dxa"/>
          </w:tcPr>
          <w:p w14:paraId="0E15B93C" w14:textId="3B83B099" w:rsidR="001858B8" w:rsidRPr="003D07A2" w:rsidRDefault="001858B8" w:rsidP="001858B8">
            <w:pPr>
              <w:jc w:val="center"/>
              <w:rPr>
                <w:rFonts w:cstheme="minorHAnsi"/>
              </w:rPr>
            </w:pPr>
            <w:r>
              <w:rPr>
                <w:rFonts w:cstheme="minorHAnsi"/>
              </w:rPr>
              <w:t>10</w:t>
            </w:r>
            <w:r w:rsidR="003A719B">
              <w:rPr>
                <w:rFonts w:cstheme="minorHAnsi"/>
              </w:rPr>
              <w:t>97</w:t>
            </w:r>
          </w:p>
        </w:tc>
        <w:tc>
          <w:tcPr>
            <w:tcW w:w="1242" w:type="dxa"/>
          </w:tcPr>
          <w:p w14:paraId="726FD94F" w14:textId="22B71E79" w:rsidR="001858B8" w:rsidRPr="003D07A2" w:rsidRDefault="003A719B" w:rsidP="001858B8">
            <w:pPr>
              <w:jc w:val="center"/>
              <w:rPr>
                <w:rFonts w:cstheme="minorHAnsi"/>
              </w:rPr>
            </w:pPr>
            <w:r>
              <w:rPr>
                <w:rFonts w:cstheme="minorHAnsi"/>
              </w:rPr>
              <w:t>1117</w:t>
            </w:r>
          </w:p>
        </w:tc>
        <w:tc>
          <w:tcPr>
            <w:tcW w:w="993" w:type="dxa"/>
          </w:tcPr>
          <w:p w14:paraId="47F0937A" w14:textId="77777777" w:rsidR="001858B8" w:rsidRPr="003D07A2" w:rsidRDefault="001858B8" w:rsidP="001858B8">
            <w:pPr>
              <w:jc w:val="center"/>
              <w:rPr>
                <w:rFonts w:cstheme="minorHAnsi"/>
              </w:rPr>
            </w:pPr>
            <w:r w:rsidRPr="003D07A2">
              <w:rPr>
                <w:rFonts w:cstheme="minorHAnsi"/>
              </w:rPr>
              <w:t>x</w:t>
            </w:r>
          </w:p>
        </w:tc>
        <w:tc>
          <w:tcPr>
            <w:tcW w:w="1122" w:type="dxa"/>
          </w:tcPr>
          <w:p w14:paraId="735678D2" w14:textId="5CB44D77" w:rsidR="001858B8" w:rsidRPr="003D07A2" w:rsidRDefault="001858B8" w:rsidP="001858B8">
            <w:pPr>
              <w:jc w:val="center"/>
              <w:rPr>
                <w:rFonts w:cstheme="minorHAnsi"/>
              </w:rPr>
            </w:pPr>
            <w:r>
              <w:rPr>
                <w:rFonts w:cstheme="minorHAnsi"/>
              </w:rPr>
              <w:t>+</w:t>
            </w:r>
            <w:r w:rsidR="003A719B">
              <w:rPr>
                <w:rFonts w:cstheme="minorHAnsi"/>
              </w:rPr>
              <w:t>66</w:t>
            </w:r>
          </w:p>
        </w:tc>
      </w:tr>
    </w:tbl>
    <w:p w14:paraId="07D261BC" w14:textId="3FCFC0CE" w:rsidR="00BA1E07" w:rsidRPr="003D07A2" w:rsidRDefault="006E37EF" w:rsidP="00712DD6">
      <w:pPr>
        <w:spacing w:before="100" w:beforeAutospacing="1" w:after="100" w:afterAutospacing="1"/>
        <w:jc w:val="both"/>
        <w:rPr>
          <w:rFonts w:cstheme="minorHAnsi"/>
        </w:rPr>
      </w:pPr>
      <w:r w:rsidRPr="003D07A2">
        <w:rPr>
          <w:rFonts w:cstheme="minorHAnsi"/>
        </w:rPr>
        <w:t>Salīdzinot ar normatīvajos dokumentos noteikto par darba samaksas apmēru gultu dienas tarifā</w:t>
      </w:r>
      <w:r w:rsidR="00B55614" w:rsidRPr="003D07A2">
        <w:rPr>
          <w:rFonts w:cstheme="minorHAnsi"/>
        </w:rPr>
        <w:t xml:space="preserve"> (MK not.Nr.555)</w:t>
      </w:r>
      <w:r w:rsidRPr="003D07A2">
        <w:rPr>
          <w:rFonts w:cstheme="minorHAnsi"/>
        </w:rPr>
        <w:t xml:space="preserve"> – Sabiedrība nodrošinājusi</w:t>
      </w:r>
      <w:r w:rsidR="00536756">
        <w:rPr>
          <w:rFonts w:cstheme="minorHAnsi"/>
        </w:rPr>
        <w:t xml:space="preserve"> </w:t>
      </w:r>
      <w:r w:rsidRPr="003D07A2">
        <w:rPr>
          <w:rFonts w:cstheme="minorHAnsi"/>
        </w:rPr>
        <w:t xml:space="preserve">izmaksu ārstu kategorijā </w:t>
      </w:r>
      <w:r w:rsidR="00670C29" w:rsidRPr="003D07A2">
        <w:rPr>
          <w:rFonts w:cstheme="minorHAnsi"/>
        </w:rPr>
        <w:t>+</w:t>
      </w:r>
      <w:r w:rsidR="00325826">
        <w:rPr>
          <w:rFonts w:cstheme="minorHAnsi"/>
        </w:rPr>
        <w:t>8</w:t>
      </w:r>
      <w:r w:rsidR="003A719B">
        <w:rPr>
          <w:rFonts w:cstheme="minorHAnsi"/>
        </w:rPr>
        <w:t>2</w:t>
      </w:r>
      <w:r w:rsidR="00325826">
        <w:rPr>
          <w:rFonts w:cstheme="minorHAnsi"/>
        </w:rPr>
        <w:t>8</w:t>
      </w:r>
      <w:r w:rsidR="00670C29" w:rsidRPr="003D07A2">
        <w:rPr>
          <w:rFonts w:cstheme="minorHAnsi"/>
        </w:rPr>
        <w:t xml:space="preserve"> euro</w:t>
      </w:r>
      <w:r w:rsidRPr="003D07A2">
        <w:rPr>
          <w:rFonts w:cstheme="minorHAnsi"/>
        </w:rPr>
        <w:t xml:space="preserve">; māsu </w:t>
      </w:r>
      <w:r w:rsidR="00670C29" w:rsidRPr="003D07A2">
        <w:rPr>
          <w:rFonts w:cstheme="minorHAnsi"/>
        </w:rPr>
        <w:t>+</w:t>
      </w:r>
      <w:r w:rsidR="00D73D53">
        <w:rPr>
          <w:rFonts w:cstheme="minorHAnsi"/>
        </w:rPr>
        <w:t>4</w:t>
      </w:r>
      <w:r w:rsidR="003A719B">
        <w:rPr>
          <w:rFonts w:cstheme="minorHAnsi"/>
        </w:rPr>
        <w:t>67</w:t>
      </w:r>
      <w:r w:rsidRPr="003D07A2">
        <w:rPr>
          <w:rFonts w:cstheme="minorHAnsi"/>
        </w:rPr>
        <w:t xml:space="preserve"> </w:t>
      </w:r>
      <w:r w:rsidR="00670C29" w:rsidRPr="003D07A2">
        <w:rPr>
          <w:rFonts w:cstheme="minorHAnsi"/>
        </w:rPr>
        <w:t>euro</w:t>
      </w:r>
      <w:r w:rsidRPr="003D07A2">
        <w:rPr>
          <w:rFonts w:cstheme="minorHAnsi"/>
        </w:rPr>
        <w:t xml:space="preserve">; māsu palīgu </w:t>
      </w:r>
      <w:r w:rsidR="00670C29" w:rsidRPr="003D07A2">
        <w:rPr>
          <w:rFonts w:cstheme="minorHAnsi"/>
        </w:rPr>
        <w:t>+</w:t>
      </w:r>
      <w:r w:rsidR="003A719B">
        <w:rPr>
          <w:rFonts w:cstheme="minorHAnsi"/>
        </w:rPr>
        <w:t>190</w:t>
      </w:r>
      <w:r w:rsidR="00670C29" w:rsidRPr="003D07A2">
        <w:rPr>
          <w:rFonts w:cstheme="minorHAnsi"/>
        </w:rPr>
        <w:t xml:space="preserve"> euro vairāk.</w:t>
      </w:r>
      <w:r w:rsidR="00B55614" w:rsidRPr="003D07A2">
        <w:rPr>
          <w:rFonts w:cstheme="minorHAnsi"/>
        </w:rPr>
        <w:t xml:space="preserve"> Salīdzinot ar normatīvo dokumentu par ārstniecības personu zemāko mēnešalgu (MK not.Nr.851)</w:t>
      </w:r>
      <w:r w:rsidR="00712DD6" w:rsidRPr="003D07A2">
        <w:rPr>
          <w:rFonts w:cstheme="minorHAnsi"/>
        </w:rPr>
        <w:t xml:space="preserve"> – </w:t>
      </w:r>
      <w:r w:rsidR="00B55614" w:rsidRPr="003D07A2">
        <w:rPr>
          <w:rFonts w:cstheme="minorHAnsi"/>
        </w:rPr>
        <w:t>ārstiem +</w:t>
      </w:r>
      <w:r w:rsidR="00864E3F">
        <w:rPr>
          <w:rFonts w:cstheme="minorHAnsi"/>
        </w:rPr>
        <w:t>746</w:t>
      </w:r>
      <w:r w:rsidR="009F7CA4">
        <w:rPr>
          <w:rFonts w:cstheme="minorHAnsi"/>
        </w:rPr>
        <w:t xml:space="preserve"> </w:t>
      </w:r>
      <w:r w:rsidR="00B55614" w:rsidRPr="003D07A2">
        <w:rPr>
          <w:rFonts w:cstheme="minorHAnsi"/>
        </w:rPr>
        <w:t>euro</w:t>
      </w:r>
      <w:r w:rsidR="009F7CA4">
        <w:rPr>
          <w:rFonts w:cstheme="minorHAnsi"/>
        </w:rPr>
        <w:t xml:space="preserve"> (mēnešalga 2</w:t>
      </w:r>
      <w:r w:rsidR="00864E3F">
        <w:rPr>
          <w:rFonts w:cstheme="minorHAnsi"/>
        </w:rPr>
        <w:t>5</w:t>
      </w:r>
      <w:r w:rsidR="009F7CA4">
        <w:rPr>
          <w:rFonts w:cstheme="minorHAnsi"/>
        </w:rPr>
        <w:t>5</w:t>
      </w:r>
      <w:r w:rsidR="00864E3F">
        <w:rPr>
          <w:rFonts w:cstheme="minorHAnsi"/>
        </w:rPr>
        <w:t>9</w:t>
      </w:r>
      <w:r w:rsidR="009F7CA4">
        <w:rPr>
          <w:rFonts w:cstheme="minorHAnsi"/>
        </w:rPr>
        <w:t xml:space="preserve"> euro, Mk not.</w:t>
      </w:r>
      <w:r w:rsidR="00864E3F">
        <w:rPr>
          <w:rFonts w:cstheme="minorHAnsi"/>
        </w:rPr>
        <w:t>1813</w:t>
      </w:r>
      <w:r w:rsidR="009F7CA4">
        <w:rPr>
          <w:rFonts w:cstheme="minorHAnsi"/>
        </w:rPr>
        <w:t xml:space="preserve"> euro)</w:t>
      </w:r>
      <w:r w:rsidR="00B55614" w:rsidRPr="003D07A2">
        <w:rPr>
          <w:rFonts w:cstheme="minorHAnsi"/>
        </w:rPr>
        <w:t>; māsas +</w:t>
      </w:r>
      <w:r w:rsidR="00C37B02">
        <w:rPr>
          <w:rFonts w:cstheme="minorHAnsi"/>
        </w:rPr>
        <w:t>1</w:t>
      </w:r>
      <w:r w:rsidR="00864E3F">
        <w:rPr>
          <w:rFonts w:cstheme="minorHAnsi"/>
        </w:rPr>
        <w:t>59</w:t>
      </w:r>
      <w:r w:rsidR="00B55614" w:rsidRPr="003D07A2">
        <w:rPr>
          <w:rFonts w:cstheme="minorHAnsi"/>
        </w:rPr>
        <w:t xml:space="preserve"> euro</w:t>
      </w:r>
      <w:r w:rsidR="00011898">
        <w:rPr>
          <w:rFonts w:cstheme="minorHAnsi"/>
        </w:rPr>
        <w:t xml:space="preserve"> (</w:t>
      </w:r>
      <w:r w:rsidR="00864E3F">
        <w:rPr>
          <w:rFonts w:cstheme="minorHAnsi"/>
        </w:rPr>
        <w:t>1348</w:t>
      </w:r>
      <w:r w:rsidR="00011898">
        <w:rPr>
          <w:rFonts w:cstheme="minorHAnsi"/>
        </w:rPr>
        <w:t xml:space="preserve"> euro un </w:t>
      </w:r>
      <w:r w:rsidR="00864E3F">
        <w:rPr>
          <w:rFonts w:cstheme="minorHAnsi"/>
        </w:rPr>
        <w:t>1189</w:t>
      </w:r>
      <w:r w:rsidR="00011898">
        <w:rPr>
          <w:rFonts w:cstheme="minorHAnsi"/>
        </w:rPr>
        <w:t xml:space="preserve"> euro)</w:t>
      </w:r>
      <w:r w:rsidR="00B55614" w:rsidRPr="003D07A2">
        <w:rPr>
          <w:rFonts w:cstheme="minorHAnsi"/>
        </w:rPr>
        <w:t>, māsu palīgi +</w:t>
      </w:r>
      <w:r w:rsidR="00864E3F">
        <w:rPr>
          <w:rFonts w:cstheme="minorHAnsi"/>
        </w:rPr>
        <w:t>5</w:t>
      </w:r>
      <w:r w:rsidR="00162132">
        <w:rPr>
          <w:rFonts w:cstheme="minorHAnsi"/>
        </w:rPr>
        <w:t>7</w:t>
      </w:r>
      <w:r w:rsidR="00B55614" w:rsidRPr="003D07A2">
        <w:rPr>
          <w:rFonts w:cstheme="minorHAnsi"/>
        </w:rPr>
        <w:t xml:space="preserve"> euro</w:t>
      </w:r>
      <w:r w:rsidR="00C37B02">
        <w:rPr>
          <w:rFonts w:cstheme="minorHAnsi"/>
        </w:rPr>
        <w:t xml:space="preserve">( </w:t>
      </w:r>
      <w:r w:rsidR="00864E3F">
        <w:rPr>
          <w:rFonts w:cstheme="minorHAnsi"/>
        </w:rPr>
        <w:t>920</w:t>
      </w:r>
      <w:r w:rsidR="00C37B02">
        <w:rPr>
          <w:rFonts w:cstheme="minorHAnsi"/>
        </w:rPr>
        <w:t xml:space="preserve"> euro un </w:t>
      </w:r>
      <w:r w:rsidR="00864E3F">
        <w:rPr>
          <w:rFonts w:cstheme="minorHAnsi"/>
        </w:rPr>
        <w:t>863</w:t>
      </w:r>
      <w:r w:rsidR="00C37B02">
        <w:rPr>
          <w:rFonts w:cstheme="minorHAnsi"/>
        </w:rPr>
        <w:t xml:space="preserve"> euro)</w:t>
      </w:r>
      <w:r w:rsidR="00B55614" w:rsidRPr="003D07A2">
        <w:rPr>
          <w:rFonts w:cstheme="minorHAnsi"/>
        </w:rPr>
        <w:t>.</w:t>
      </w:r>
    </w:p>
    <w:p w14:paraId="2CFC295D" w14:textId="67C224A1" w:rsidR="00670C29" w:rsidRPr="003D07A2" w:rsidRDefault="00B55614" w:rsidP="00712DD6">
      <w:pPr>
        <w:spacing w:before="100" w:beforeAutospacing="1" w:after="100" w:afterAutospacing="1"/>
        <w:jc w:val="both"/>
        <w:rPr>
          <w:rFonts w:cstheme="minorHAnsi"/>
        </w:rPr>
      </w:pPr>
      <w:r w:rsidRPr="003D07A2">
        <w:rPr>
          <w:rFonts w:cstheme="minorHAnsi"/>
        </w:rPr>
        <w:t>M</w:t>
      </w:r>
      <w:r w:rsidR="00670C29" w:rsidRPr="003D07A2">
        <w:rPr>
          <w:rFonts w:cstheme="minorHAnsi"/>
        </w:rPr>
        <w:t xml:space="preserve">āsu darba samaksa sasniedz </w:t>
      </w:r>
      <w:r w:rsidR="00325826">
        <w:rPr>
          <w:rFonts w:cstheme="minorHAnsi"/>
        </w:rPr>
        <w:t>59</w:t>
      </w:r>
      <w:r w:rsidR="00670C29" w:rsidRPr="003D07A2">
        <w:rPr>
          <w:rFonts w:cstheme="minorHAnsi"/>
        </w:rPr>
        <w:t xml:space="preserve"> % no ārsta darba apmaksas un māsu palīgiem tiek nodrošināta darba samaksa </w:t>
      </w:r>
      <w:r w:rsidR="00325826">
        <w:rPr>
          <w:rFonts w:cstheme="minorHAnsi"/>
        </w:rPr>
        <w:t>36</w:t>
      </w:r>
      <w:r w:rsidR="00670C29" w:rsidRPr="003D07A2">
        <w:rPr>
          <w:rFonts w:cstheme="minorHAnsi"/>
        </w:rPr>
        <w:t>% no ārstu darba samaksas.</w:t>
      </w:r>
    </w:p>
    <w:p w14:paraId="6CD1B731" w14:textId="77777777" w:rsidR="005775C7" w:rsidRDefault="005775C7">
      <w:pPr>
        <w:rPr>
          <w:rFonts w:cstheme="minorHAnsi"/>
          <w:b/>
          <w:bCs/>
        </w:rPr>
      </w:pPr>
      <w:bookmarkStart w:id="0" w:name="_Hlk70341704"/>
      <w:r>
        <w:rPr>
          <w:rFonts w:cstheme="minorHAnsi"/>
          <w:b/>
          <w:bCs/>
        </w:rPr>
        <w:br w:type="page"/>
      </w:r>
    </w:p>
    <w:p w14:paraId="60CB93E0" w14:textId="3E981E5D" w:rsidR="008D79D0" w:rsidRPr="003D07A2" w:rsidRDefault="008D79D0" w:rsidP="008D79D0">
      <w:pPr>
        <w:spacing w:after="0"/>
        <w:rPr>
          <w:rFonts w:cstheme="minorHAnsi"/>
          <w:b/>
          <w:bCs/>
        </w:rPr>
      </w:pPr>
      <w:r w:rsidRPr="003D07A2">
        <w:rPr>
          <w:rFonts w:cstheme="minorHAnsi"/>
          <w:b/>
          <w:bCs/>
        </w:rPr>
        <w:lastRenderedPageBreak/>
        <w:t>Izglītība un zinātniskā darbība</w:t>
      </w:r>
    </w:p>
    <w:p w14:paraId="7CF4CFF6" w14:textId="187F0CAC" w:rsidR="00E24E30" w:rsidRPr="003D07A2" w:rsidRDefault="003B7B57" w:rsidP="00712DD6">
      <w:pPr>
        <w:spacing w:before="100" w:beforeAutospacing="1" w:after="100" w:afterAutospacing="1"/>
        <w:jc w:val="both"/>
        <w:rPr>
          <w:rFonts w:cstheme="minorHAnsi"/>
        </w:rPr>
      </w:pPr>
      <w:r w:rsidRPr="003D07A2">
        <w:rPr>
          <w:rFonts w:cstheme="minorHAnsi"/>
        </w:rPr>
        <w:t>Pārskata periodā Sabiedrībā rezidentūru īsteno 1</w:t>
      </w:r>
      <w:r w:rsidR="008C4758">
        <w:rPr>
          <w:rFonts w:cstheme="minorHAnsi"/>
        </w:rPr>
        <w:t>7</w:t>
      </w:r>
      <w:r w:rsidRPr="003D07A2">
        <w:rPr>
          <w:rFonts w:cstheme="minorHAnsi"/>
        </w:rPr>
        <w:t xml:space="preserve"> rezidenti </w:t>
      </w:r>
      <w:r w:rsidR="00086188" w:rsidRPr="003D07A2">
        <w:rPr>
          <w:rFonts w:cstheme="minorHAnsi"/>
        </w:rPr>
        <w:t>studiju programmās</w:t>
      </w:r>
      <w:r w:rsidR="00E36CCA">
        <w:rPr>
          <w:rFonts w:cstheme="minorHAnsi"/>
        </w:rPr>
        <w:t xml:space="preserve"> -</w:t>
      </w:r>
      <w:r w:rsidR="00086188" w:rsidRPr="003D07A2">
        <w:rPr>
          <w:rFonts w:cstheme="minorHAnsi"/>
        </w:rPr>
        <w:t xml:space="preserve"> “Psihiatrija”</w:t>
      </w:r>
      <w:r w:rsidR="000F64FC">
        <w:rPr>
          <w:rFonts w:cstheme="minorHAnsi"/>
        </w:rPr>
        <w:t>-</w:t>
      </w:r>
      <w:r w:rsidR="008532D6">
        <w:rPr>
          <w:rFonts w:cstheme="minorHAnsi"/>
        </w:rPr>
        <w:t>1</w:t>
      </w:r>
      <w:r w:rsidR="008C4758">
        <w:rPr>
          <w:rFonts w:cstheme="minorHAnsi"/>
        </w:rPr>
        <w:t>5</w:t>
      </w:r>
      <w:r w:rsidR="00086188" w:rsidRPr="003D07A2">
        <w:rPr>
          <w:rFonts w:cstheme="minorHAnsi"/>
        </w:rPr>
        <w:t>, “Bērnu psihiatrija”</w:t>
      </w:r>
      <w:r w:rsidR="000F64FC">
        <w:rPr>
          <w:rFonts w:cstheme="minorHAnsi"/>
        </w:rPr>
        <w:t>-</w:t>
      </w:r>
      <w:r w:rsidR="008C4758">
        <w:rPr>
          <w:rFonts w:cstheme="minorHAnsi"/>
        </w:rPr>
        <w:t>2</w:t>
      </w:r>
      <w:r w:rsidR="00086188" w:rsidRPr="003D07A2">
        <w:rPr>
          <w:rFonts w:cstheme="minorHAnsi"/>
        </w:rPr>
        <w:t xml:space="preserve">. </w:t>
      </w:r>
      <w:r w:rsidR="00226245" w:rsidRPr="003D07A2">
        <w:rPr>
          <w:rFonts w:cstheme="minorHAnsi"/>
        </w:rPr>
        <w:t>Līgumi par rezidentu apmācību valsts budžeta finansētās rezidentūras vietās Sabiedrībai noslēgti ar Rīgas Stradiņa universitāti</w:t>
      </w:r>
      <w:r w:rsidR="00502B8C">
        <w:rPr>
          <w:rFonts w:cstheme="minorHAnsi"/>
        </w:rPr>
        <w:t xml:space="preserve"> (15 rezidenti)</w:t>
      </w:r>
      <w:r w:rsidR="000421E2">
        <w:rPr>
          <w:rFonts w:cstheme="minorHAnsi"/>
        </w:rPr>
        <w:t xml:space="preserve"> </w:t>
      </w:r>
      <w:r w:rsidR="00502B8C">
        <w:rPr>
          <w:rFonts w:cstheme="minorHAnsi"/>
        </w:rPr>
        <w:t>un Latvijas Universitāti (rezidenti).</w:t>
      </w:r>
      <w:r w:rsidR="00226245" w:rsidRPr="003D07A2">
        <w:rPr>
          <w:rFonts w:cstheme="minorHAnsi"/>
        </w:rPr>
        <w:t xml:space="preserve"> </w:t>
      </w:r>
      <w:r w:rsidR="000421E2">
        <w:rPr>
          <w:rFonts w:cstheme="minorHAnsi"/>
        </w:rPr>
        <w:t xml:space="preserve">Tai skaitā </w:t>
      </w:r>
      <w:r w:rsidR="00F239FA">
        <w:rPr>
          <w:rFonts w:cstheme="minorHAnsi"/>
        </w:rPr>
        <w:t>trīs</w:t>
      </w:r>
      <w:r w:rsidR="000421E2">
        <w:rPr>
          <w:rFonts w:cstheme="minorHAnsi"/>
        </w:rPr>
        <w:t xml:space="preserve"> rezident</w:t>
      </w:r>
      <w:r w:rsidR="00F239FA">
        <w:rPr>
          <w:rFonts w:cstheme="minorHAnsi"/>
        </w:rPr>
        <w:t>i</w:t>
      </w:r>
      <w:r w:rsidR="000421E2">
        <w:rPr>
          <w:rFonts w:cstheme="minorHAnsi"/>
        </w:rPr>
        <w:t xml:space="preserve"> izmanto akadēmisko atvaļinājumu</w:t>
      </w:r>
      <w:r w:rsidR="00F239FA">
        <w:rPr>
          <w:rFonts w:cstheme="minorHAnsi"/>
        </w:rPr>
        <w:t>.</w:t>
      </w:r>
    </w:p>
    <w:p w14:paraId="56DB1D88" w14:textId="7C5FA02F" w:rsidR="009C4FFD" w:rsidRDefault="003B7B57" w:rsidP="00712DD6">
      <w:pPr>
        <w:spacing w:before="100" w:beforeAutospacing="1" w:after="100" w:afterAutospacing="1"/>
        <w:jc w:val="both"/>
        <w:rPr>
          <w:rFonts w:cstheme="minorHAnsi"/>
        </w:rPr>
      </w:pPr>
      <w:r w:rsidRPr="003D07A2">
        <w:rPr>
          <w:rFonts w:cstheme="minorHAnsi"/>
        </w:rPr>
        <w:t>Jauno ārstu profesionālo spēju attīstīšanai, Sabiedrība rezidentiem dod iespēju papildināt zināšanas un prasmes darbā ar pacientu, pacienta tuviniekiem</w:t>
      </w:r>
      <w:r w:rsidR="009C4FFD" w:rsidRPr="003D07A2">
        <w:rPr>
          <w:rFonts w:cstheme="minorHAnsi"/>
        </w:rPr>
        <w:t>, un piedalīties pacientu tuvinieku izglītošanā par slimību, tās ārstēšanu, par slimības risku un citiem kaitīgiem faktoriem</w:t>
      </w:r>
      <w:r w:rsidR="002138EC" w:rsidRPr="003D07A2">
        <w:rPr>
          <w:rFonts w:cstheme="minorHAnsi"/>
        </w:rPr>
        <w:t xml:space="preserve"> (psihoedukācija)</w:t>
      </w:r>
      <w:r w:rsidR="009C4FFD" w:rsidRPr="003D07A2">
        <w:rPr>
          <w:rFonts w:cstheme="minorHAnsi"/>
        </w:rPr>
        <w:t>.</w:t>
      </w:r>
      <w:r w:rsidRPr="003D07A2">
        <w:rPr>
          <w:rFonts w:cstheme="minorHAnsi"/>
        </w:rPr>
        <w:t xml:space="preserve"> </w:t>
      </w:r>
      <w:r w:rsidR="009C4FFD" w:rsidRPr="003D07A2">
        <w:rPr>
          <w:rFonts w:cstheme="minorHAnsi"/>
        </w:rPr>
        <w:t xml:space="preserve">Jaunie ārsti aktīvi piedalās </w:t>
      </w:r>
      <w:r w:rsidRPr="003D07A2">
        <w:rPr>
          <w:rFonts w:cstheme="minorHAnsi"/>
        </w:rPr>
        <w:t>zinātnisku</w:t>
      </w:r>
      <w:r w:rsidR="008B3225" w:rsidRPr="003D07A2">
        <w:rPr>
          <w:rFonts w:cstheme="minorHAnsi"/>
        </w:rPr>
        <w:t xml:space="preserve"> </w:t>
      </w:r>
      <w:r w:rsidRPr="003D07A2">
        <w:rPr>
          <w:rFonts w:cstheme="minorHAnsi"/>
        </w:rPr>
        <w:t>materiālu sagatavošan</w:t>
      </w:r>
      <w:r w:rsidR="009C4FFD" w:rsidRPr="003D07A2">
        <w:rPr>
          <w:rFonts w:cstheme="minorHAnsi"/>
        </w:rPr>
        <w:t xml:space="preserve">ā </w:t>
      </w:r>
      <w:r w:rsidRPr="003D07A2">
        <w:rPr>
          <w:rFonts w:cstheme="minorHAnsi"/>
        </w:rPr>
        <w:t xml:space="preserve">un </w:t>
      </w:r>
      <w:r w:rsidR="009C4FFD" w:rsidRPr="003D07A2">
        <w:rPr>
          <w:rFonts w:cstheme="minorHAnsi"/>
        </w:rPr>
        <w:t>lekciju īstenošanā</w:t>
      </w:r>
      <w:r w:rsidR="008B3225" w:rsidRPr="003D07A2">
        <w:rPr>
          <w:rFonts w:cstheme="minorHAnsi"/>
        </w:rPr>
        <w:t xml:space="preserve"> </w:t>
      </w:r>
      <w:r w:rsidR="009C4FFD" w:rsidRPr="003D07A2">
        <w:rPr>
          <w:rFonts w:cstheme="minorHAnsi"/>
        </w:rPr>
        <w:t xml:space="preserve">dažādu projektu ietvaros </w:t>
      </w:r>
      <w:r w:rsidR="00712DD6" w:rsidRPr="003D07A2">
        <w:rPr>
          <w:rFonts w:cstheme="minorHAnsi"/>
        </w:rPr>
        <w:t xml:space="preserve">– </w:t>
      </w:r>
      <w:r w:rsidR="009C4FFD" w:rsidRPr="003D07A2">
        <w:rPr>
          <w:rFonts w:cstheme="minorHAnsi"/>
        </w:rPr>
        <w:t xml:space="preserve">pašvaldību speciālistiem, Jelgavas pilsētas iedzīvotājiem un skolēniem, kā arī slimnīcas “Ģintermuižas” ārstu konferencēs. </w:t>
      </w:r>
    </w:p>
    <w:p w14:paraId="531CC791" w14:textId="45A7B67C" w:rsidR="00D9722B" w:rsidRPr="00D9722B" w:rsidRDefault="00D9722B" w:rsidP="00D9722B">
      <w:pPr>
        <w:jc w:val="both"/>
        <w:rPr>
          <w:rFonts w:cstheme="minorHAnsi"/>
        </w:rPr>
      </w:pPr>
      <w:r w:rsidRPr="00D9722B">
        <w:rPr>
          <w:rFonts w:cstheme="minorHAnsi"/>
        </w:rPr>
        <w:t>Pārskata periodā slimnīcā nodrošinātās prakses iespējas:</w:t>
      </w:r>
    </w:p>
    <w:p w14:paraId="1220FACB" w14:textId="77777777" w:rsidR="00D9722B" w:rsidRPr="00D9722B" w:rsidRDefault="00D9722B" w:rsidP="00D9722B">
      <w:pPr>
        <w:pStyle w:val="Sarakstarindkopa"/>
        <w:numPr>
          <w:ilvl w:val="0"/>
          <w:numId w:val="26"/>
        </w:numPr>
        <w:spacing w:line="278" w:lineRule="auto"/>
        <w:jc w:val="both"/>
        <w:rPr>
          <w:rFonts w:cstheme="minorHAnsi"/>
        </w:rPr>
      </w:pPr>
      <w:r w:rsidRPr="00D9722B">
        <w:rPr>
          <w:rFonts w:cstheme="minorHAnsi"/>
        </w:rPr>
        <w:t>LU P. Stradiņa medicīnas koledžas viens 3. kursa students no 09.02. – 30.04. iziet kvalifikācijas praksi “Ārsta palīgs”</w:t>
      </w:r>
    </w:p>
    <w:p w14:paraId="1641ED8E" w14:textId="77777777" w:rsidR="00D9722B" w:rsidRPr="00D9722B" w:rsidRDefault="00D9722B" w:rsidP="00D9722B">
      <w:pPr>
        <w:pStyle w:val="Sarakstarindkopa"/>
        <w:jc w:val="both"/>
        <w:rPr>
          <w:rFonts w:cstheme="minorHAnsi"/>
        </w:rPr>
      </w:pPr>
    </w:p>
    <w:p w14:paraId="7A430FB6" w14:textId="77777777" w:rsidR="00D9722B" w:rsidRPr="00D9722B" w:rsidRDefault="00D9722B" w:rsidP="00D9722B">
      <w:pPr>
        <w:pStyle w:val="Sarakstarindkopa"/>
        <w:numPr>
          <w:ilvl w:val="0"/>
          <w:numId w:val="26"/>
        </w:numPr>
        <w:spacing w:line="278" w:lineRule="auto"/>
        <w:jc w:val="both"/>
        <w:rPr>
          <w:rFonts w:cstheme="minorHAnsi"/>
        </w:rPr>
      </w:pPr>
      <w:r w:rsidRPr="00D9722B">
        <w:rPr>
          <w:rFonts w:cstheme="minorHAnsi"/>
        </w:rPr>
        <w:t>RSU Veselības un sporta zinātņu fakultātes studiju programmas “Māszinības” astoņas 3. kursa studentes uzsāka praksi slimnīcas nodaļās  sākot ar 23.03.2026. – 22.05.2026.</w:t>
      </w:r>
    </w:p>
    <w:p w14:paraId="79BEC2FB" w14:textId="77777777" w:rsidR="00D9722B" w:rsidRPr="00D9722B" w:rsidRDefault="00D9722B" w:rsidP="00D9722B">
      <w:pPr>
        <w:pStyle w:val="Sarakstarindkopa"/>
        <w:jc w:val="both"/>
        <w:rPr>
          <w:rFonts w:cstheme="minorHAnsi"/>
        </w:rPr>
      </w:pPr>
    </w:p>
    <w:p w14:paraId="264B1FC8" w14:textId="77777777" w:rsidR="00D9722B" w:rsidRPr="00D9722B" w:rsidRDefault="00D9722B" w:rsidP="00D9722B">
      <w:pPr>
        <w:pStyle w:val="Sarakstarindkopa"/>
        <w:numPr>
          <w:ilvl w:val="0"/>
          <w:numId w:val="26"/>
        </w:numPr>
        <w:spacing w:line="278" w:lineRule="auto"/>
        <w:jc w:val="both"/>
        <w:rPr>
          <w:rFonts w:cstheme="minorHAnsi"/>
        </w:rPr>
      </w:pPr>
      <w:r w:rsidRPr="00D9722B">
        <w:rPr>
          <w:rFonts w:cstheme="minorHAnsi"/>
        </w:rPr>
        <w:t>RSU Veselības un sporta zinātņu fakultātes profesionālās bakalaura studiju programmas “Klīniskā prakse: psihiskā veselība” un profesionālās bakalaura studiju programmas “Ergoterapija” divi  4. kursa studenti uzsāka praksi slimnīcā sākot ar 02.02.2026. – 31.03.2026.</w:t>
      </w:r>
    </w:p>
    <w:p w14:paraId="2B0EF43B" w14:textId="77777777" w:rsidR="00D9722B" w:rsidRPr="00D9722B" w:rsidRDefault="00D9722B" w:rsidP="00D9722B">
      <w:pPr>
        <w:pStyle w:val="Sarakstarindkopa"/>
        <w:jc w:val="both"/>
        <w:rPr>
          <w:rFonts w:cstheme="minorHAnsi"/>
        </w:rPr>
      </w:pPr>
    </w:p>
    <w:p w14:paraId="77BC343A" w14:textId="77777777" w:rsidR="00D9722B" w:rsidRPr="00D9722B" w:rsidRDefault="00D9722B" w:rsidP="00D9722B">
      <w:pPr>
        <w:pStyle w:val="Sarakstarindkopa"/>
        <w:numPr>
          <w:ilvl w:val="0"/>
          <w:numId w:val="26"/>
        </w:numPr>
        <w:spacing w:line="278" w:lineRule="auto"/>
        <w:jc w:val="both"/>
        <w:rPr>
          <w:rFonts w:cstheme="minorHAnsi"/>
        </w:rPr>
      </w:pPr>
      <w:r w:rsidRPr="00D9722B">
        <w:rPr>
          <w:rFonts w:cstheme="minorHAnsi"/>
        </w:rPr>
        <w:t xml:space="preserve">RSU Veselības un sporta zinātņu fakultātes profesionālās studiju programmas “Veselības psiholoģija” trīs 1. kursa studenti uzsāka praksi slimnīcā no 04.03.2026. – 11.05.2026. </w:t>
      </w:r>
    </w:p>
    <w:p w14:paraId="0A2C8923" w14:textId="77777777" w:rsidR="00D9722B" w:rsidRPr="00D9722B" w:rsidRDefault="00D9722B" w:rsidP="00D9722B">
      <w:pPr>
        <w:pStyle w:val="Sarakstarindkopa"/>
        <w:jc w:val="both"/>
        <w:rPr>
          <w:rFonts w:cstheme="minorHAnsi"/>
        </w:rPr>
      </w:pPr>
    </w:p>
    <w:p w14:paraId="6995C520" w14:textId="77777777" w:rsidR="00D9722B" w:rsidRPr="00D9722B" w:rsidRDefault="00D9722B" w:rsidP="00D9722B">
      <w:pPr>
        <w:pStyle w:val="Sarakstarindkopa"/>
        <w:numPr>
          <w:ilvl w:val="0"/>
          <w:numId w:val="26"/>
        </w:numPr>
        <w:spacing w:line="278" w:lineRule="auto"/>
        <w:jc w:val="both"/>
        <w:rPr>
          <w:rFonts w:cstheme="minorHAnsi"/>
        </w:rPr>
      </w:pPr>
      <w:r w:rsidRPr="00D9722B">
        <w:rPr>
          <w:rFonts w:cstheme="minorHAnsi"/>
        </w:rPr>
        <w:t xml:space="preserve">RSU Sarkanā Krusta medicīnas koledža, studiju programmas </w:t>
      </w:r>
      <w:hyperlink r:id="rId8" w:history="1">
        <w:r w:rsidRPr="00D9722B">
          <w:rPr>
            <w:rStyle w:val="Hipersaite"/>
            <w:rFonts w:cstheme="minorHAnsi"/>
            <w:color w:val="auto"/>
            <w:u w:val="none"/>
            <w:bdr w:val="none" w:sz="0" w:space="0" w:color="auto" w:frame="1"/>
            <w:shd w:val="clear" w:color="auto" w:fill="FFFFFF"/>
          </w:rPr>
          <w:t xml:space="preserve">“Māszinības” kvalifikācija – māsas palīgs </w:t>
        </w:r>
      </w:hyperlink>
      <w:r w:rsidRPr="00D9722B">
        <w:rPr>
          <w:rFonts w:cstheme="minorHAnsi"/>
        </w:rPr>
        <w:t xml:space="preserve"> septiņas izglītojamās uzsāka praksi slimnīcā no 16.03. – 20.06.</w:t>
      </w:r>
    </w:p>
    <w:p w14:paraId="31B84C6B" w14:textId="77777777" w:rsidR="00D9722B" w:rsidRPr="00D9722B" w:rsidRDefault="00D9722B" w:rsidP="00D9722B">
      <w:pPr>
        <w:pStyle w:val="Sarakstarindkopa"/>
        <w:jc w:val="both"/>
        <w:rPr>
          <w:rFonts w:cstheme="minorHAnsi"/>
        </w:rPr>
      </w:pPr>
    </w:p>
    <w:p w14:paraId="06587F04" w14:textId="77777777" w:rsidR="00D9722B" w:rsidRPr="00D9722B" w:rsidRDefault="00D9722B" w:rsidP="00D9722B">
      <w:pPr>
        <w:pStyle w:val="Sarakstarindkopa"/>
        <w:numPr>
          <w:ilvl w:val="0"/>
          <w:numId w:val="26"/>
        </w:numPr>
        <w:spacing w:line="278" w:lineRule="auto"/>
        <w:jc w:val="both"/>
        <w:rPr>
          <w:rFonts w:cstheme="minorHAnsi"/>
        </w:rPr>
      </w:pPr>
      <w:r w:rsidRPr="00D9722B">
        <w:rPr>
          <w:rFonts w:cstheme="minorHAnsi"/>
        </w:rPr>
        <w:t>VSIA “Slimnīca “Ģintermuiža”” sadarbībā ar RSU prakses ietvaros Supervīzijas praksi uzsāka un turpina viena studente no 29.10.2025. – 6.05.2026. VA māsām psihiatrijā un narkoloģijā kā arī MDK profesionāļiem supervīzijas.</w:t>
      </w:r>
    </w:p>
    <w:p w14:paraId="0C0D5D46" w14:textId="77777777" w:rsidR="00D9722B" w:rsidRPr="00D9722B" w:rsidRDefault="00D9722B" w:rsidP="00D9722B">
      <w:pPr>
        <w:pStyle w:val="Sarakstarindkopa"/>
        <w:jc w:val="both"/>
        <w:rPr>
          <w:rFonts w:cstheme="minorHAnsi"/>
        </w:rPr>
      </w:pPr>
    </w:p>
    <w:p w14:paraId="77C00F55" w14:textId="77777777" w:rsidR="00D9722B" w:rsidRPr="00D9722B" w:rsidRDefault="00D9722B" w:rsidP="00D9722B">
      <w:pPr>
        <w:pStyle w:val="Sarakstarindkopa"/>
        <w:numPr>
          <w:ilvl w:val="0"/>
          <w:numId w:val="26"/>
        </w:numPr>
        <w:spacing w:line="278" w:lineRule="auto"/>
        <w:jc w:val="both"/>
        <w:rPr>
          <w:rFonts w:cstheme="minorHAnsi"/>
        </w:rPr>
      </w:pPr>
      <w:r w:rsidRPr="00D9722B">
        <w:rPr>
          <w:rFonts w:cstheme="minorHAnsi"/>
        </w:rPr>
        <w:t>11. martā 2026. gadā no Bauskas slimnīcas pārstāvji bija atbraukuši pieredzes apmaiņā saistībā ar uzkopšanas nodaļas izveidi un darba organizāciju</w:t>
      </w:r>
    </w:p>
    <w:p w14:paraId="7AFBC5C1" w14:textId="77777777" w:rsidR="0004641C" w:rsidRDefault="0004641C" w:rsidP="00712DD6">
      <w:pPr>
        <w:spacing w:before="100" w:beforeAutospacing="1" w:after="100" w:afterAutospacing="1"/>
        <w:jc w:val="both"/>
        <w:rPr>
          <w:rFonts w:cstheme="minorHAnsi"/>
        </w:rPr>
      </w:pPr>
    </w:p>
    <w:bookmarkEnd w:id="0"/>
    <w:p w14:paraId="0C722F1F" w14:textId="77777777" w:rsidR="00863730" w:rsidRDefault="00863730" w:rsidP="00863730">
      <w:pPr>
        <w:spacing w:after="0"/>
        <w:rPr>
          <w:rFonts w:cstheme="minorHAnsi"/>
          <w:b/>
          <w:bCs/>
        </w:rPr>
      </w:pPr>
      <w:r w:rsidRPr="006D4872">
        <w:rPr>
          <w:rFonts w:cstheme="minorHAnsi"/>
          <w:b/>
          <w:bCs/>
        </w:rPr>
        <w:t>Klientu apkalpošana un kvalitātes vadība</w:t>
      </w:r>
    </w:p>
    <w:p w14:paraId="7D662CC0" w14:textId="77777777" w:rsidR="0028718E" w:rsidRPr="006D4872" w:rsidRDefault="0028718E" w:rsidP="00863730">
      <w:pPr>
        <w:spacing w:after="0"/>
        <w:rPr>
          <w:rFonts w:cstheme="minorHAnsi"/>
          <w:b/>
          <w:bCs/>
        </w:rPr>
      </w:pPr>
    </w:p>
    <w:p w14:paraId="045B7F20" w14:textId="47F0AB9E" w:rsidR="001E2FB4" w:rsidRPr="001E2FB4" w:rsidRDefault="00E37C87" w:rsidP="001E2FB4">
      <w:pPr>
        <w:ind w:firstLine="720"/>
        <w:jc w:val="both"/>
        <w:rPr>
          <w:rFonts w:cstheme="minorHAnsi"/>
        </w:rPr>
      </w:pPr>
      <w:r>
        <w:rPr>
          <w:rFonts w:cstheme="minorHAnsi"/>
        </w:rPr>
        <w:lastRenderedPageBreak/>
        <w:t xml:space="preserve">Kvalitātes vadības ietvaros </w:t>
      </w:r>
      <w:r w:rsidR="008B08DB">
        <w:rPr>
          <w:rFonts w:cstheme="minorHAnsi"/>
        </w:rPr>
        <w:t>izstrādāti</w:t>
      </w:r>
      <w:r w:rsidR="001E2FB4" w:rsidRPr="001E2FB4">
        <w:rPr>
          <w:rFonts w:cstheme="minorHAnsi"/>
        </w:rPr>
        <w:t xml:space="preserve"> </w:t>
      </w:r>
      <w:r w:rsidR="008B08DB">
        <w:rPr>
          <w:rFonts w:cstheme="minorHAnsi"/>
        </w:rPr>
        <w:t>metodiskie materiāli un iekšējās kārtības normatīvie regulējumi</w:t>
      </w:r>
      <w:r w:rsidR="001E2FB4" w:rsidRPr="001E2FB4">
        <w:rPr>
          <w:rFonts w:cstheme="minorHAnsi"/>
        </w:rPr>
        <w:t xml:space="preserve">: </w:t>
      </w:r>
    </w:p>
    <w:p w14:paraId="160B9341" w14:textId="77777777" w:rsidR="004F75C6" w:rsidRPr="00A00F34" w:rsidRDefault="006B7017" w:rsidP="00A00F34">
      <w:pPr>
        <w:pStyle w:val="Sarakstarindkopa"/>
        <w:numPr>
          <w:ilvl w:val="0"/>
          <w:numId w:val="28"/>
        </w:numPr>
        <w:jc w:val="both"/>
        <w:rPr>
          <w:rFonts w:cstheme="minorHAnsi"/>
        </w:rPr>
      </w:pPr>
      <w:r w:rsidRPr="00A00F34">
        <w:rPr>
          <w:rFonts w:cstheme="minorHAnsi"/>
        </w:rPr>
        <w:t xml:space="preserve">Tika izanalizēti 2 ziņojumi par gadījumiem kuru dēļ radies vai varēja rasties ar veselības aprūpi saistīts kaitējums pacientam. Atgadījumu analīze tika veikta 1. APN un Subakūtās psihiatrijas nodaļas, par ko ir noformēti atgadījum analīzes protokoli.  Lai turpmāk mazinātu negadījumu riskus un paaugstinātu veselības aprūpes kvalitāti stacionārā tika izstrādāts  preventīvo pasākumu kopums. </w:t>
      </w:r>
    </w:p>
    <w:p w14:paraId="4F84538F" w14:textId="77777777" w:rsidR="00A00F34" w:rsidRPr="00A00F34" w:rsidRDefault="004F75C6" w:rsidP="00A00F34">
      <w:pPr>
        <w:pStyle w:val="Sarakstarindkopa"/>
        <w:numPr>
          <w:ilvl w:val="0"/>
          <w:numId w:val="28"/>
        </w:numPr>
        <w:jc w:val="both"/>
        <w:rPr>
          <w:rFonts w:cstheme="minorHAnsi"/>
        </w:rPr>
      </w:pPr>
      <w:r w:rsidRPr="00A00F34">
        <w:rPr>
          <w:rFonts w:cstheme="minorHAnsi"/>
        </w:rPr>
        <w:t>1.</w:t>
      </w:r>
      <w:r w:rsidR="006B7017" w:rsidRPr="00A00F34">
        <w:rPr>
          <w:rFonts w:cstheme="minorHAnsi"/>
        </w:rPr>
        <w:t>ceturksnī izskatītas 2 sūdzības saistībā ar veselības aprūpes kvalitāti (Subakūtās psihiatrijas nodaļa, Bērnu psihiatrijas nodaļa).</w:t>
      </w:r>
    </w:p>
    <w:p w14:paraId="538134E0" w14:textId="77777777" w:rsidR="00A00F34" w:rsidRPr="00A00F34" w:rsidRDefault="006B7017" w:rsidP="00A00F34">
      <w:pPr>
        <w:pStyle w:val="Sarakstarindkopa"/>
        <w:numPr>
          <w:ilvl w:val="0"/>
          <w:numId w:val="28"/>
        </w:numPr>
        <w:jc w:val="both"/>
        <w:rPr>
          <w:rFonts w:cstheme="minorHAnsi"/>
        </w:rPr>
      </w:pPr>
      <w:r w:rsidRPr="00A00F34">
        <w:rPr>
          <w:rFonts w:cstheme="minorHAnsi"/>
        </w:rPr>
        <w:t>06.03.2026 slimnīcas "Ģintermuiža" darbinieku kopsapulcē tika prezentēta Pacientu un viņu piederīgo sūdzību statistika par 2022 – 2025 g. Analīze liecina, ka nav saņemtas sūdzības par menedžmenta un darba vides jautājumiem, kas saistīti ar darba organizāciju, procesu vadību, darba vidi veselības aprūpes sniegšanas vietās. Vairākums sūdzību skaits attiecināms pie komunikācijas un attiecību problēmām (problēmas, kas saistītas ar jebkura konkrēta darbinieka izturēšanos, uzvedību, attieksmi pret pacientu un viņa ģimeni/radiniekiem/pārstāvjiem). Galvenais uzlabojumu virziens ir komunikācijas kvalitāte starp personālu, pacientiem un viņu pārstāvjiem.</w:t>
      </w:r>
    </w:p>
    <w:p w14:paraId="19878D85" w14:textId="77777777" w:rsidR="00A00F34" w:rsidRPr="00A00F34" w:rsidRDefault="006B7017" w:rsidP="00A00F34">
      <w:pPr>
        <w:pStyle w:val="Sarakstarindkopa"/>
        <w:numPr>
          <w:ilvl w:val="0"/>
          <w:numId w:val="28"/>
        </w:numPr>
        <w:jc w:val="both"/>
        <w:rPr>
          <w:rFonts w:cstheme="minorHAnsi"/>
          <w:color w:val="000000"/>
        </w:rPr>
      </w:pPr>
      <w:r w:rsidRPr="00A00F34">
        <w:rPr>
          <w:rFonts w:cstheme="minorHAnsi"/>
          <w:color w:val="000000"/>
        </w:rPr>
        <w:t>Sagatavota atbilde Veselības inspekcijai par pārbaudes rezultātiem   par pacientu tiesību ievērošanu psihoneiroloģiskajās slimnīcās.</w:t>
      </w:r>
    </w:p>
    <w:p w14:paraId="70CA25B4" w14:textId="77777777" w:rsidR="00A00F34" w:rsidRDefault="006B7017" w:rsidP="00A00F34">
      <w:pPr>
        <w:pStyle w:val="Sarakstarindkopa"/>
        <w:numPr>
          <w:ilvl w:val="0"/>
          <w:numId w:val="28"/>
        </w:numPr>
        <w:jc w:val="both"/>
        <w:rPr>
          <w:rFonts w:cstheme="minorHAnsi"/>
          <w:color w:val="000000"/>
        </w:rPr>
      </w:pPr>
      <w:r w:rsidRPr="00A00F34">
        <w:rPr>
          <w:rFonts w:cstheme="minorHAnsi"/>
          <w:color w:val="000000"/>
        </w:rPr>
        <w:t>Lai īstenotu 02.12.2025. gada Veselības inspekcijas vēstules  Nr. 1.6.-2./10122 “Ieteikumi/uzdevumi pacientu tiesību ievērošanas uzlabojumiem ārstniecības iestādēs” izpildi, tika izstrādāti sekojošie iekšējie normatīvie akti:</w:t>
      </w:r>
    </w:p>
    <w:p w14:paraId="4C8D069F" w14:textId="77777777" w:rsidR="00A00F34" w:rsidRDefault="006B7017" w:rsidP="00A00F34">
      <w:pPr>
        <w:pStyle w:val="Sarakstarindkopa"/>
        <w:numPr>
          <w:ilvl w:val="1"/>
          <w:numId w:val="28"/>
        </w:numPr>
        <w:jc w:val="both"/>
        <w:rPr>
          <w:rFonts w:cstheme="minorHAnsi"/>
          <w:color w:val="000000"/>
        </w:rPr>
      </w:pPr>
      <w:r w:rsidRPr="00A00F34">
        <w:rPr>
          <w:rFonts w:cstheme="minorHAnsi"/>
          <w:color w:val="000000"/>
        </w:rPr>
        <w:t>Algoritms pacienta tiesību īstenošanai atteikties no konkrēta pakalpojuma, neatsakoties no ārstniecības kopumā.</w:t>
      </w:r>
    </w:p>
    <w:p w14:paraId="1B85F208" w14:textId="3B2A393B" w:rsidR="00A00F34" w:rsidRDefault="00A00F34" w:rsidP="00A00F34">
      <w:pPr>
        <w:pStyle w:val="Sarakstarindkopa"/>
        <w:numPr>
          <w:ilvl w:val="1"/>
          <w:numId w:val="28"/>
        </w:numPr>
        <w:jc w:val="both"/>
        <w:rPr>
          <w:rFonts w:cstheme="minorHAnsi"/>
          <w:color w:val="000000"/>
        </w:rPr>
      </w:pPr>
      <w:r>
        <w:rPr>
          <w:rFonts w:cstheme="minorHAnsi"/>
          <w:color w:val="000000"/>
        </w:rPr>
        <w:t xml:space="preserve"> </w:t>
      </w:r>
      <w:r w:rsidR="006B7017" w:rsidRPr="00A00F34">
        <w:rPr>
          <w:rFonts w:cstheme="minorHAnsi"/>
          <w:color w:val="000000"/>
        </w:rPr>
        <w:t>Problēmsituāciju risināšanas kārtība pacientu pieredzes uzlabošanai</w:t>
      </w:r>
      <w:r w:rsidRPr="00A00F34">
        <w:rPr>
          <w:rFonts w:cstheme="minorHAnsi"/>
          <w:color w:val="000000"/>
        </w:rPr>
        <w:t xml:space="preserve"> </w:t>
      </w:r>
      <w:r w:rsidR="006B7017" w:rsidRPr="00A00F34">
        <w:rPr>
          <w:rFonts w:cstheme="minorHAnsi"/>
          <w:color w:val="000000"/>
        </w:rPr>
        <w:t>un sūdzību skaita mazināšanai.</w:t>
      </w:r>
    </w:p>
    <w:p w14:paraId="36C2EDEB" w14:textId="77777777" w:rsidR="00AA0096" w:rsidRDefault="006B7017" w:rsidP="00AA0096">
      <w:pPr>
        <w:pStyle w:val="Sarakstarindkopa"/>
        <w:numPr>
          <w:ilvl w:val="1"/>
          <w:numId w:val="28"/>
        </w:numPr>
        <w:spacing w:after="0" w:line="240" w:lineRule="auto"/>
        <w:jc w:val="both"/>
        <w:rPr>
          <w:rFonts w:cstheme="minorHAnsi"/>
          <w:color w:val="000000"/>
        </w:rPr>
      </w:pPr>
      <w:r w:rsidRPr="00AA0096">
        <w:rPr>
          <w:rFonts w:cstheme="minorHAnsi"/>
          <w:color w:val="000000"/>
        </w:rPr>
        <w:t>Korektīvo un preventīvo aktivitāšu pārvaldības sistēma.</w:t>
      </w:r>
    </w:p>
    <w:p w14:paraId="76670F16" w14:textId="56028EB9" w:rsidR="00AA0096" w:rsidRPr="00AA0096" w:rsidRDefault="006B7017" w:rsidP="00AA0096">
      <w:pPr>
        <w:pStyle w:val="Sarakstarindkopa"/>
        <w:numPr>
          <w:ilvl w:val="1"/>
          <w:numId w:val="28"/>
        </w:numPr>
        <w:spacing w:after="0" w:line="240" w:lineRule="auto"/>
        <w:jc w:val="both"/>
        <w:rPr>
          <w:rFonts w:cstheme="minorHAnsi"/>
          <w:color w:val="000000"/>
        </w:rPr>
      </w:pPr>
      <w:r w:rsidRPr="00AA0096">
        <w:rPr>
          <w:rFonts w:cstheme="minorHAnsi"/>
          <w:color w:val="000000"/>
        </w:rPr>
        <w:t>Algoritms pacienta izpratnes pārbaudei.</w:t>
      </w:r>
    </w:p>
    <w:p w14:paraId="263448C4" w14:textId="484ABDFB" w:rsidR="006B7017" w:rsidRPr="00AA0096" w:rsidRDefault="006B7017" w:rsidP="00AA0096">
      <w:pPr>
        <w:pStyle w:val="Sarakstarindkopa"/>
        <w:numPr>
          <w:ilvl w:val="1"/>
          <w:numId w:val="28"/>
        </w:numPr>
        <w:spacing w:after="0" w:line="240" w:lineRule="auto"/>
        <w:jc w:val="both"/>
        <w:rPr>
          <w:rFonts w:cstheme="minorHAnsi"/>
          <w:color w:val="000000"/>
        </w:rPr>
      </w:pPr>
      <w:r w:rsidRPr="00AA0096">
        <w:rPr>
          <w:rFonts w:cstheme="minorHAnsi"/>
          <w:color w:val="000000"/>
        </w:rPr>
        <w:t>SIA “Slimnīca “Ģintermuiža”” iekšējā procedūra “Mutiskas un telefoniskas medikamentu ordinēšanas kārtība”.</w:t>
      </w:r>
    </w:p>
    <w:p w14:paraId="0CC243AC" w14:textId="77777777" w:rsidR="006B7017" w:rsidRPr="00A00F34" w:rsidRDefault="006B7017" w:rsidP="00A00F34">
      <w:pPr>
        <w:pStyle w:val="Sarakstarindkopa"/>
        <w:numPr>
          <w:ilvl w:val="0"/>
          <w:numId w:val="28"/>
        </w:numPr>
        <w:jc w:val="both"/>
        <w:rPr>
          <w:rFonts w:cstheme="minorHAnsi"/>
          <w:bCs/>
        </w:rPr>
      </w:pPr>
      <w:r w:rsidRPr="00A00F34">
        <w:rPr>
          <w:rFonts w:cstheme="minorHAnsi"/>
          <w:bCs/>
        </w:rPr>
        <w:t xml:space="preserve">Tika reģistrēti 4 kritienu gadījumi (ISASRN, reģistrēti  datu bāzē un izanalizēti). </w:t>
      </w:r>
    </w:p>
    <w:p w14:paraId="13AAE232" w14:textId="701B6CAA" w:rsidR="006B7017" w:rsidRPr="00A00F34" w:rsidRDefault="006B7017" w:rsidP="00A00F34">
      <w:pPr>
        <w:pStyle w:val="Sarakstarindkopa"/>
        <w:numPr>
          <w:ilvl w:val="0"/>
          <w:numId w:val="28"/>
        </w:numPr>
        <w:jc w:val="both"/>
        <w:rPr>
          <w:rFonts w:cstheme="minorHAnsi"/>
          <w:bCs/>
        </w:rPr>
      </w:pPr>
      <w:r w:rsidRPr="00A00F34">
        <w:rPr>
          <w:rFonts w:cstheme="minorHAnsi"/>
          <w:bCs/>
        </w:rPr>
        <w:t xml:space="preserve">Saņemti 18 zvani uz anonīmo tālruni. Visi  no tiem bija kļūdaini. </w:t>
      </w:r>
    </w:p>
    <w:p w14:paraId="07A80DFD" w14:textId="77777777" w:rsidR="005775C7" w:rsidRPr="00684297" w:rsidRDefault="005775C7" w:rsidP="005775C7">
      <w:pPr>
        <w:pStyle w:val="Sarakstarindkopa"/>
        <w:ind w:left="1080"/>
        <w:jc w:val="both"/>
        <w:rPr>
          <w:rFonts w:cstheme="minorHAnsi"/>
        </w:rPr>
      </w:pPr>
    </w:p>
    <w:p w14:paraId="15B0FE37" w14:textId="77777777" w:rsidR="00370AE3" w:rsidRDefault="00370AE3" w:rsidP="00E13CC8">
      <w:pPr>
        <w:pStyle w:val="Sarakstarindkopa"/>
        <w:spacing w:after="0"/>
        <w:ind w:left="0"/>
        <w:rPr>
          <w:rFonts w:cstheme="minorHAnsi"/>
        </w:rPr>
      </w:pPr>
    </w:p>
    <w:p w14:paraId="68B5519F" w14:textId="25890C7E" w:rsidR="008D79D0" w:rsidRPr="003D07A2" w:rsidRDefault="008D79D0" w:rsidP="00E13CC8">
      <w:pPr>
        <w:pStyle w:val="Sarakstarindkopa"/>
        <w:spacing w:after="0"/>
        <w:ind w:left="0"/>
        <w:rPr>
          <w:rFonts w:cstheme="minorHAnsi"/>
          <w:b/>
          <w:bCs/>
        </w:rPr>
      </w:pPr>
      <w:r w:rsidRPr="003D07A2">
        <w:rPr>
          <w:rFonts w:cstheme="minorHAnsi"/>
          <w:b/>
          <w:bCs/>
        </w:rPr>
        <w:t>Ieteikumi Sabiedrības turpmākās darbības uzlabošanai un risku mazināšanai</w:t>
      </w:r>
    </w:p>
    <w:p w14:paraId="6F8A06DC" w14:textId="77777777" w:rsidR="00F5591A" w:rsidRPr="003D07A2" w:rsidRDefault="00F5591A" w:rsidP="00086EA7">
      <w:pPr>
        <w:spacing w:before="100" w:beforeAutospacing="1" w:after="100" w:afterAutospacing="1"/>
        <w:jc w:val="both"/>
        <w:rPr>
          <w:rFonts w:cstheme="minorHAnsi"/>
        </w:rPr>
      </w:pPr>
      <w:r w:rsidRPr="003D07A2">
        <w:rPr>
          <w:rFonts w:cstheme="minorHAnsi"/>
        </w:rPr>
        <w:t>Sabiedrība turpina mērķtiecīgi veikt galveno procesu analīzi, lai savlaicīgi identificētu riskus, to līmeni un iespējamo ietekmi.</w:t>
      </w:r>
    </w:p>
    <w:p w14:paraId="1D361292" w14:textId="568C1A07" w:rsidR="008D79D0" w:rsidRPr="003D07A2" w:rsidRDefault="00F5591A" w:rsidP="00086EA7">
      <w:pPr>
        <w:spacing w:before="100" w:beforeAutospacing="1" w:after="100" w:afterAutospacing="1"/>
        <w:jc w:val="both"/>
        <w:rPr>
          <w:rFonts w:cstheme="minorHAnsi"/>
        </w:rPr>
      </w:pPr>
      <w:r w:rsidRPr="003D07A2">
        <w:rPr>
          <w:rFonts w:cstheme="minorHAnsi"/>
        </w:rPr>
        <w:t>Notiek nepārtraukta Sabiedrībā nodarbināto noslodzes efektivitātes pārraudzīšana, lai samazinātu virsstundu rašanos riskus</w:t>
      </w:r>
      <w:r w:rsidR="0079478C" w:rsidRPr="003D07A2">
        <w:rPr>
          <w:rFonts w:cstheme="minorHAnsi"/>
        </w:rPr>
        <w:t>, kā arī kontrolētu cilvēkresursu efektīvu izmantošanu.</w:t>
      </w:r>
    </w:p>
    <w:p w14:paraId="3E732D33" w14:textId="77777777" w:rsidR="00F5591A" w:rsidRPr="003D07A2" w:rsidRDefault="00F5591A" w:rsidP="00086EA7">
      <w:pPr>
        <w:spacing w:before="100" w:beforeAutospacing="1" w:after="100" w:afterAutospacing="1"/>
        <w:jc w:val="both"/>
        <w:rPr>
          <w:rFonts w:cstheme="minorHAnsi"/>
        </w:rPr>
      </w:pPr>
      <w:r w:rsidRPr="003D07A2">
        <w:rPr>
          <w:rFonts w:cstheme="minorHAnsi"/>
        </w:rPr>
        <w:t>Tiek monitorēti pakalpojumu sniegšanas efektivitātes rādītāji un veikta pakalpojuma uzskaites dokumentu analīze un kvalitātes kontrole.</w:t>
      </w:r>
    </w:p>
    <w:sectPr w:rsidR="00F5591A" w:rsidRPr="003D07A2" w:rsidSect="00E41D84">
      <w:headerReference w:type="default" r:id="rId9"/>
      <w:footerReference w:type="default" r:id="rId10"/>
      <w:pgSz w:w="11906" w:h="16838" w:code="9"/>
      <w:pgMar w:top="1134" w:right="1701" w:bottom="130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FFB2B" w14:textId="77777777" w:rsidR="00997B17" w:rsidRDefault="00997B17" w:rsidP="00AE3541">
      <w:pPr>
        <w:spacing w:after="0" w:line="240" w:lineRule="auto"/>
      </w:pPr>
      <w:r>
        <w:separator/>
      </w:r>
    </w:p>
  </w:endnote>
  <w:endnote w:type="continuationSeparator" w:id="0">
    <w:p w14:paraId="2802574F" w14:textId="77777777" w:rsidR="00997B17" w:rsidRDefault="00997B17" w:rsidP="00AE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1864"/>
      <w:docPartObj>
        <w:docPartGallery w:val="Page Numbers (Bottom of Page)"/>
        <w:docPartUnique/>
      </w:docPartObj>
    </w:sdtPr>
    <w:sdtEndPr/>
    <w:sdtContent>
      <w:p w14:paraId="17FFC8B8" w14:textId="77777777" w:rsidR="008328C0" w:rsidRDefault="008328C0">
        <w:pPr>
          <w:pStyle w:val="Kjene"/>
          <w:jc w:val="center"/>
        </w:pPr>
        <w:r>
          <w:fldChar w:fldCharType="begin"/>
        </w:r>
        <w:r>
          <w:instrText>PAGE   \* MERGEFORMAT</w:instrText>
        </w:r>
        <w:r>
          <w:fldChar w:fldCharType="separate"/>
        </w:r>
        <w:r>
          <w:rPr>
            <w:noProof/>
          </w:rPr>
          <w:t>2</w:t>
        </w:r>
        <w:r>
          <w:fldChar w:fldCharType="end"/>
        </w:r>
      </w:p>
    </w:sdtContent>
  </w:sdt>
  <w:p w14:paraId="4AC3EEEB" w14:textId="77777777" w:rsidR="008328C0" w:rsidRDefault="008328C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32D7" w14:textId="77777777" w:rsidR="00997B17" w:rsidRDefault="00997B17" w:rsidP="00AE3541">
      <w:pPr>
        <w:spacing w:after="0" w:line="240" w:lineRule="auto"/>
      </w:pPr>
      <w:r>
        <w:separator/>
      </w:r>
    </w:p>
  </w:footnote>
  <w:footnote w:type="continuationSeparator" w:id="0">
    <w:p w14:paraId="4920741B" w14:textId="77777777" w:rsidR="00997B17" w:rsidRDefault="00997B17" w:rsidP="00AE3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Ind w:w="1555"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75"/>
      <w:gridCol w:w="3969"/>
    </w:tblGrid>
    <w:tr w:rsidR="00765D57" w:rsidRPr="00765D57" w14:paraId="32F36E71" w14:textId="77777777" w:rsidTr="006C5619">
      <w:trPr>
        <w:trHeight w:val="1125"/>
      </w:trPr>
      <w:tc>
        <w:tcPr>
          <w:tcW w:w="1275" w:type="dxa"/>
        </w:tcPr>
        <w:p w14:paraId="7CFE5A65" w14:textId="597391F7" w:rsidR="008275B6" w:rsidRDefault="008275B6" w:rsidP="008275B6">
          <w:pPr>
            <w:pStyle w:val="Galvene"/>
            <w:rPr>
              <w:rFonts w:ascii="Times New Roman" w:hAnsi="Times New Roman" w:cs="Times New Roman"/>
              <w:i/>
              <w:iCs/>
            </w:rPr>
          </w:pPr>
          <w:r w:rsidRPr="008275B6">
            <w:rPr>
              <w:rFonts w:ascii="Times New Roman" w:hAnsi="Times New Roman" w:cs="Times New Roman"/>
              <w:b/>
              <w:bCs/>
              <w:noProof/>
              <w:sz w:val="32"/>
              <w:szCs w:val="32"/>
            </w:rPr>
            <w:drawing>
              <wp:anchor distT="0" distB="0" distL="114300" distR="114300" simplePos="0" relativeHeight="251658240" behindDoc="0" locked="0" layoutInCell="1" allowOverlap="1" wp14:anchorId="07723CDB" wp14:editId="05AF8E89">
                <wp:simplePos x="0" y="0"/>
                <wp:positionH relativeFrom="margin">
                  <wp:posOffset>80645</wp:posOffset>
                </wp:positionH>
                <wp:positionV relativeFrom="paragraph">
                  <wp:posOffset>0</wp:posOffset>
                </wp:positionV>
                <wp:extent cx="514350" cy="637540"/>
                <wp:effectExtent l="0" t="0" r="0" b="0"/>
                <wp:wrapSquare wrapText="bothSides"/>
                <wp:docPr id="2300937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3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69" w:type="dxa"/>
        </w:tcPr>
        <w:p w14:paraId="298A7E55" w14:textId="411D5E24" w:rsidR="008275B6" w:rsidRPr="00765D57" w:rsidRDefault="008275B6" w:rsidP="00765D57">
          <w:pPr>
            <w:pStyle w:val="Galvene"/>
            <w:contextualSpacing/>
            <w:rPr>
              <w:rFonts w:ascii="Times New Roman" w:hAnsi="Times New Roman" w:cs="Times New Roman"/>
              <w:b/>
              <w:bCs/>
              <w:color w:val="1C572B"/>
              <w:sz w:val="16"/>
              <w:szCs w:val="16"/>
            </w:rPr>
          </w:pPr>
          <w:r w:rsidRPr="00765D57">
            <w:rPr>
              <w:rFonts w:ascii="Times New Roman" w:hAnsi="Times New Roman" w:cs="Times New Roman"/>
              <w:b/>
              <w:bCs/>
              <w:color w:val="1C572B"/>
              <w:sz w:val="16"/>
              <w:szCs w:val="16"/>
            </w:rPr>
            <w:t xml:space="preserve"> </w:t>
          </w:r>
        </w:p>
        <w:p w14:paraId="6AE265C1" w14:textId="56F5AA13" w:rsidR="008275B6" w:rsidRPr="00765D57" w:rsidRDefault="008275B6" w:rsidP="00765D57">
          <w:pPr>
            <w:pStyle w:val="Galvene"/>
            <w:contextualSpacing/>
            <w:rPr>
              <w:rFonts w:ascii="Times New Roman" w:hAnsi="Times New Roman" w:cs="Times New Roman"/>
              <w:b/>
              <w:bCs/>
              <w:color w:val="1C572B"/>
              <w:sz w:val="32"/>
              <w:szCs w:val="32"/>
            </w:rPr>
          </w:pPr>
          <w:r w:rsidRPr="00765D57">
            <w:rPr>
              <w:rFonts w:ascii="Times New Roman" w:hAnsi="Times New Roman" w:cs="Times New Roman"/>
              <w:b/>
              <w:bCs/>
              <w:color w:val="1C572B"/>
              <w:sz w:val="32"/>
              <w:szCs w:val="32"/>
            </w:rPr>
            <w:t>ĢINTERMUIŽA</w:t>
          </w:r>
        </w:p>
        <w:p w14:paraId="44DED08C" w14:textId="0A669886" w:rsidR="008275B6" w:rsidRPr="00765D57" w:rsidRDefault="008275B6" w:rsidP="00765D57">
          <w:pPr>
            <w:pStyle w:val="Galvene"/>
            <w:contextualSpacing/>
            <w:rPr>
              <w:rFonts w:ascii="Times New Roman" w:hAnsi="Times New Roman" w:cs="Times New Roman"/>
              <w:i/>
              <w:iCs/>
              <w:color w:val="0A8943"/>
            </w:rPr>
          </w:pPr>
          <w:r w:rsidRPr="00765D57">
            <w:rPr>
              <w:rFonts w:ascii="Times New Roman" w:hAnsi="Times New Roman" w:cs="Times New Roman"/>
              <w:i/>
              <w:iCs/>
              <w:color w:val="0A8943"/>
            </w:rPr>
            <w:t>Prāta skaidrībai un gara līdzsvaram!</w:t>
          </w:r>
        </w:p>
      </w:tc>
    </w:tr>
  </w:tbl>
  <w:p w14:paraId="1014ECE1" w14:textId="120A8432" w:rsidR="008275B6" w:rsidRDefault="006C5619" w:rsidP="008275B6">
    <w:pPr>
      <w:pStyle w:val="Galvene"/>
      <w:rPr>
        <w:rFonts w:ascii="Times New Roman" w:hAnsi="Times New Roman" w:cs="Times New Roman"/>
        <w:i/>
        <w:iCs/>
      </w:rPr>
    </w:pPr>
    <w:r>
      <w:rPr>
        <w:rFonts w:ascii="Times New Roman" w:hAnsi="Times New Roman" w:cs="Times New Roman"/>
        <w:i/>
        <w:iCs/>
        <w:noProof/>
      </w:rPr>
      <mc:AlternateContent>
        <mc:Choice Requires="wps">
          <w:drawing>
            <wp:anchor distT="0" distB="0" distL="114300" distR="114300" simplePos="0" relativeHeight="251659264" behindDoc="0" locked="0" layoutInCell="1" allowOverlap="1" wp14:anchorId="387E1BD3" wp14:editId="3102380D">
              <wp:simplePos x="0" y="0"/>
              <wp:positionH relativeFrom="margin">
                <wp:align>center</wp:align>
              </wp:positionH>
              <wp:positionV relativeFrom="paragraph">
                <wp:posOffset>50165</wp:posOffset>
              </wp:positionV>
              <wp:extent cx="4524375" cy="0"/>
              <wp:effectExtent l="0" t="0" r="0" b="0"/>
              <wp:wrapNone/>
              <wp:docPr id="763719220" name="Taisns savienotājs 2"/>
              <wp:cNvGraphicFramePr/>
              <a:graphic xmlns:a="http://schemas.openxmlformats.org/drawingml/2006/main">
                <a:graphicData uri="http://schemas.microsoft.com/office/word/2010/wordprocessingShape">
                  <wps:wsp>
                    <wps:cNvCnPr/>
                    <wps:spPr>
                      <a:xfrm>
                        <a:off x="0" y="0"/>
                        <a:ext cx="4524375" cy="0"/>
                      </a:xfrm>
                      <a:prstGeom prst="line">
                        <a:avLst/>
                      </a:prstGeom>
                      <a:ln>
                        <a:solidFill>
                          <a:srgbClr val="0A8943"/>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B9998" id="Taisns savienotājs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95pt" to="356.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" strokecolor="#0a8943" strokeweight="1.5pt">
              <v:stroke joinstyle="miter"/>
              <w10:wrap anchorx="margin"/>
            </v:line>
          </w:pict>
        </mc:Fallback>
      </mc:AlternateContent>
    </w:r>
  </w:p>
  <w:p w14:paraId="08A7D630" w14:textId="77777777" w:rsidR="008275B6" w:rsidRPr="008275B6" w:rsidRDefault="008275B6" w:rsidP="008275B6">
    <w:pPr>
      <w:pStyle w:val="Galvene"/>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82B"/>
    <w:multiLevelType w:val="multilevel"/>
    <w:tmpl w:val="67B4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71E0A"/>
    <w:multiLevelType w:val="hybridMultilevel"/>
    <w:tmpl w:val="3C9A31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B96A2B"/>
    <w:multiLevelType w:val="hybridMultilevel"/>
    <w:tmpl w:val="BF2217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E42B61"/>
    <w:multiLevelType w:val="hybridMultilevel"/>
    <w:tmpl w:val="E45A16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C602B7"/>
    <w:multiLevelType w:val="hybridMultilevel"/>
    <w:tmpl w:val="8CE237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7607E9E"/>
    <w:multiLevelType w:val="hybridMultilevel"/>
    <w:tmpl w:val="9DB0F524"/>
    <w:lvl w:ilvl="0" w:tplc="B954563C">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92E2AF2"/>
    <w:multiLevelType w:val="hybridMultilevel"/>
    <w:tmpl w:val="5FDE25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4108E1"/>
    <w:multiLevelType w:val="hybridMultilevel"/>
    <w:tmpl w:val="83F82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42556"/>
    <w:multiLevelType w:val="hybridMultilevel"/>
    <w:tmpl w:val="0BFE73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4A17DD7"/>
    <w:multiLevelType w:val="multilevel"/>
    <w:tmpl w:val="F550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D63A2"/>
    <w:multiLevelType w:val="hybridMultilevel"/>
    <w:tmpl w:val="F14A2C10"/>
    <w:lvl w:ilvl="0" w:tplc="E10E786E">
      <w:start w:val="1"/>
      <w:numFmt w:val="bullet"/>
      <w:lvlText w:val="•"/>
      <w:lvlJc w:val="left"/>
      <w:pPr>
        <w:tabs>
          <w:tab w:val="num" w:pos="720"/>
        </w:tabs>
        <w:ind w:left="720" w:hanging="360"/>
      </w:pPr>
      <w:rPr>
        <w:rFonts w:ascii="Arial" w:hAnsi="Arial" w:hint="default"/>
      </w:rPr>
    </w:lvl>
    <w:lvl w:ilvl="1" w:tplc="7CAC3D14">
      <w:numFmt w:val="bullet"/>
      <w:lvlText w:val="o"/>
      <w:lvlJc w:val="left"/>
      <w:pPr>
        <w:tabs>
          <w:tab w:val="num" w:pos="1440"/>
        </w:tabs>
        <w:ind w:left="1440" w:hanging="360"/>
      </w:pPr>
      <w:rPr>
        <w:rFonts w:ascii="Courier New" w:hAnsi="Courier New" w:hint="default"/>
      </w:rPr>
    </w:lvl>
    <w:lvl w:ilvl="2" w:tplc="7FB0E15E" w:tentative="1">
      <w:start w:val="1"/>
      <w:numFmt w:val="bullet"/>
      <w:lvlText w:val="•"/>
      <w:lvlJc w:val="left"/>
      <w:pPr>
        <w:tabs>
          <w:tab w:val="num" w:pos="2160"/>
        </w:tabs>
        <w:ind w:left="2160" w:hanging="360"/>
      </w:pPr>
      <w:rPr>
        <w:rFonts w:ascii="Arial" w:hAnsi="Arial" w:hint="default"/>
      </w:rPr>
    </w:lvl>
    <w:lvl w:ilvl="3" w:tplc="5C882BE6" w:tentative="1">
      <w:start w:val="1"/>
      <w:numFmt w:val="bullet"/>
      <w:lvlText w:val="•"/>
      <w:lvlJc w:val="left"/>
      <w:pPr>
        <w:tabs>
          <w:tab w:val="num" w:pos="2880"/>
        </w:tabs>
        <w:ind w:left="2880" w:hanging="360"/>
      </w:pPr>
      <w:rPr>
        <w:rFonts w:ascii="Arial" w:hAnsi="Arial" w:hint="default"/>
      </w:rPr>
    </w:lvl>
    <w:lvl w:ilvl="4" w:tplc="A09C1CB0" w:tentative="1">
      <w:start w:val="1"/>
      <w:numFmt w:val="bullet"/>
      <w:lvlText w:val="•"/>
      <w:lvlJc w:val="left"/>
      <w:pPr>
        <w:tabs>
          <w:tab w:val="num" w:pos="3600"/>
        </w:tabs>
        <w:ind w:left="3600" w:hanging="360"/>
      </w:pPr>
      <w:rPr>
        <w:rFonts w:ascii="Arial" w:hAnsi="Arial" w:hint="default"/>
      </w:rPr>
    </w:lvl>
    <w:lvl w:ilvl="5" w:tplc="E0B047B2" w:tentative="1">
      <w:start w:val="1"/>
      <w:numFmt w:val="bullet"/>
      <w:lvlText w:val="•"/>
      <w:lvlJc w:val="left"/>
      <w:pPr>
        <w:tabs>
          <w:tab w:val="num" w:pos="4320"/>
        </w:tabs>
        <w:ind w:left="4320" w:hanging="360"/>
      </w:pPr>
      <w:rPr>
        <w:rFonts w:ascii="Arial" w:hAnsi="Arial" w:hint="default"/>
      </w:rPr>
    </w:lvl>
    <w:lvl w:ilvl="6" w:tplc="FFF2761C" w:tentative="1">
      <w:start w:val="1"/>
      <w:numFmt w:val="bullet"/>
      <w:lvlText w:val="•"/>
      <w:lvlJc w:val="left"/>
      <w:pPr>
        <w:tabs>
          <w:tab w:val="num" w:pos="5040"/>
        </w:tabs>
        <w:ind w:left="5040" w:hanging="360"/>
      </w:pPr>
      <w:rPr>
        <w:rFonts w:ascii="Arial" w:hAnsi="Arial" w:hint="default"/>
      </w:rPr>
    </w:lvl>
    <w:lvl w:ilvl="7" w:tplc="888ABF14" w:tentative="1">
      <w:start w:val="1"/>
      <w:numFmt w:val="bullet"/>
      <w:lvlText w:val="•"/>
      <w:lvlJc w:val="left"/>
      <w:pPr>
        <w:tabs>
          <w:tab w:val="num" w:pos="5760"/>
        </w:tabs>
        <w:ind w:left="5760" w:hanging="360"/>
      </w:pPr>
      <w:rPr>
        <w:rFonts w:ascii="Arial" w:hAnsi="Arial" w:hint="default"/>
      </w:rPr>
    </w:lvl>
    <w:lvl w:ilvl="8" w:tplc="15F4A3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EF5857"/>
    <w:multiLevelType w:val="hybridMultilevel"/>
    <w:tmpl w:val="2CC870C0"/>
    <w:lvl w:ilvl="0" w:tplc="BA000A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A0339B1"/>
    <w:multiLevelType w:val="hybridMultilevel"/>
    <w:tmpl w:val="F9F0201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4E308D2"/>
    <w:multiLevelType w:val="hybridMultilevel"/>
    <w:tmpl w:val="B596B9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01732A"/>
    <w:multiLevelType w:val="hybridMultilevel"/>
    <w:tmpl w:val="D0168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8355FA9"/>
    <w:multiLevelType w:val="multilevel"/>
    <w:tmpl w:val="3716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F30224"/>
    <w:multiLevelType w:val="hybridMultilevel"/>
    <w:tmpl w:val="A3B612A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297B63"/>
    <w:multiLevelType w:val="hybridMultilevel"/>
    <w:tmpl w:val="94CE47F6"/>
    <w:lvl w:ilvl="0" w:tplc="913E6D9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5AF52003"/>
    <w:multiLevelType w:val="hybridMultilevel"/>
    <w:tmpl w:val="C95A3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BF060C0"/>
    <w:multiLevelType w:val="hybridMultilevel"/>
    <w:tmpl w:val="DEA4FA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C156AD0"/>
    <w:multiLevelType w:val="multilevel"/>
    <w:tmpl w:val="0B10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45A8D"/>
    <w:multiLevelType w:val="hybridMultilevel"/>
    <w:tmpl w:val="360E3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A701A3"/>
    <w:multiLevelType w:val="hybridMultilevel"/>
    <w:tmpl w:val="742AF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B200021"/>
    <w:multiLevelType w:val="multilevel"/>
    <w:tmpl w:val="3928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D7700"/>
    <w:multiLevelType w:val="hybridMultilevel"/>
    <w:tmpl w:val="FABC9E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41D53C6"/>
    <w:multiLevelType w:val="hybridMultilevel"/>
    <w:tmpl w:val="8E3AE1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7A0C62A8"/>
    <w:multiLevelType w:val="hybridMultilevel"/>
    <w:tmpl w:val="37A050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EB25855"/>
    <w:multiLevelType w:val="hybridMultilevel"/>
    <w:tmpl w:val="46FEE7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77942027">
    <w:abstractNumId w:val="2"/>
  </w:num>
  <w:num w:numId="2" w16cid:durableId="1522165412">
    <w:abstractNumId w:val="16"/>
  </w:num>
  <w:num w:numId="3" w16cid:durableId="994335056">
    <w:abstractNumId w:val="13"/>
  </w:num>
  <w:num w:numId="4" w16cid:durableId="1547449695">
    <w:abstractNumId w:val="3"/>
  </w:num>
  <w:num w:numId="5" w16cid:durableId="1483767105">
    <w:abstractNumId w:val="14"/>
  </w:num>
  <w:num w:numId="6" w16cid:durableId="1731465913">
    <w:abstractNumId w:val="18"/>
  </w:num>
  <w:num w:numId="7" w16cid:durableId="363870209">
    <w:abstractNumId w:val="11"/>
  </w:num>
  <w:num w:numId="8" w16cid:durableId="1842968457">
    <w:abstractNumId w:val="6"/>
  </w:num>
  <w:num w:numId="9" w16cid:durableId="478225962">
    <w:abstractNumId w:val="5"/>
  </w:num>
  <w:num w:numId="10" w16cid:durableId="17587521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263494">
    <w:abstractNumId w:val="10"/>
  </w:num>
  <w:num w:numId="12" w16cid:durableId="874271822">
    <w:abstractNumId w:val="27"/>
  </w:num>
  <w:num w:numId="13" w16cid:durableId="1437480986">
    <w:abstractNumId w:val="17"/>
  </w:num>
  <w:num w:numId="14" w16cid:durableId="375281258">
    <w:abstractNumId w:val="22"/>
  </w:num>
  <w:num w:numId="15" w16cid:durableId="1663965022">
    <w:abstractNumId w:val="8"/>
  </w:num>
  <w:num w:numId="16" w16cid:durableId="1636712827">
    <w:abstractNumId w:val="15"/>
  </w:num>
  <w:num w:numId="17" w16cid:durableId="4552317">
    <w:abstractNumId w:val="23"/>
  </w:num>
  <w:num w:numId="18" w16cid:durableId="1649897982">
    <w:abstractNumId w:val="0"/>
  </w:num>
  <w:num w:numId="19" w16cid:durableId="1624845880">
    <w:abstractNumId w:val="9"/>
  </w:num>
  <w:num w:numId="20" w16cid:durableId="937368617">
    <w:abstractNumId w:val="4"/>
  </w:num>
  <w:num w:numId="21" w16cid:durableId="879972113">
    <w:abstractNumId w:val="1"/>
  </w:num>
  <w:num w:numId="22" w16cid:durableId="451434925">
    <w:abstractNumId w:val="26"/>
  </w:num>
  <w:num w:numId="23" w16cid:durableId="113377458">
    <w:abstractNumId w:val="21"/>
  </w:num>
  <w:num w:numId="24" w16cid:durableId="517618714">
    <w:abstractNumId w:val="24"/>
  </w:num>
  <w:num w:numId="25" w16cid:durableId="114566512">
    <w:abstractNumId w:val="20"/>
  </w:num>
  <w:num w:numId="26" w16cid:durableId="1411200040">
    <w:abstractNumId w:val="7"/>
  </w:num>
  <w:num w:numId="27" w16cid:durableId="796947274">
    <w:abstractNumId w:val="12"/>
  </w:num>
  <w:num w:numId="28" w16cid:durableId="394055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D0"/>
    <w:rsid w:val="00000319"/>
    <w:rsid w:val="0000188E"/>
    <w:rsid w:val="000027E0"/>
    <w:rsid w:val="00003620"/>
    <w:rsid w:val="00004152"/>
    <w:rsid w:val="00004C25"/>
    <w:rsid w:val="00005BDD"/>
    <w:rsid w:val="00006A2B"/>
    <w:rsid w:val="00011898"/>
    <w:rsid w:val="000125A0"/>
    <w:rsid w:val="00013768"/>
    <w:rsid w:val="00016C25"/>
    <w:rsid w:val="0001742B"/>
    <w:rsid w:val="00017BBA"/>
    <w:rsid w:val="00020EBD"/>
    <w:rsid w:val="00021117"/>
    <w:rsid w:val="0002462D"/>
    <w:rsid w:val="00025AB5"/>
    <w:rsid w:val="00027683"/>
    <w:rsid w:val="00027DF4"/>
    <w:rsid w:val="00033934"/>
    <w:rsid w:val="00034DDE"/>
    <w:rsid w:val="00035454"/>
    <w:rsid w:val="00037363"/>
    <w:rsid w:val="0003762A"/>
    <w:rsid w:val="00037E00"/>
    <w:rsid w:val="00040C1E"/>
    <w:rsid w:val="0004128B"/>
    <w:rsid w:val="000421E2"/>
    <w:rsid w:val="0004226E"/>
    <w:rsid w:val="00044C4D"/>
    <w:rsid w:val="0004641C"/>
    <w:rsid w:val="00047B2B"/>
    <w:rsid w:val="00052BAE"/>
    <w:rsid w:val="00055754"/>
    <w:rsid w:val="000557AF"/>
    <w:rsid w:val="0006017E"/>
    <w:rsid w:val="00061C66"/>
    <w:rsid w:val="00062455"/>
    <w:rsid w:val="00063859"/>
    <w:rsid w:val="0006750F"/>
    <w:rsid w:val="00071258"/>
    <w:rsid w:val="00072B5D"/>
    <w:rsid w:val="00073F64"/>
    <w:rsid w:val="00075905"/>
    <w:rsid w:val="00075BB7"/>
    <w:rsid w:val="00080CEB"/>
    <w:rsid w:val="0008337F"/>
    <w:rsid w:val="000844FE"/>
    <w:rsid w:val="00086188"/>
    <w:rsid w:val="00086750"/>
    <w:rsid w:val="00086EA7"/>
    <w:rsid w:val="00090ACE"/>
    <w:rsid w:val="00091868"/>
    <w:rsid w:val="000931AE"/>
    <w:rsid w:val="00095CF4"/>
    <w:rsid w:val="000A28B8"/>
    <w:rsid w:val="000A5B2B"/>
    <w:rsid w:val="000A70AD"/>
    <w:rsid w:val="000B3566"/>
    <w:rsid w:val="000B51FF"/>
    <w:rsid w:val="000B5D23"/>
    <w:rsid w:val="000C0B25"/>
    <w:rsid w:val="000C0FB9"/>
    <w:rsid w:val="000C22A0"/>
    <w:rsid w:val="000C381D"/>
    <w:rsid w:val="000C3C92"/>
    <w:rsid w:val="000C4408"/>
    <w:rsid w:val="000C4877"/>
    <w:rsid w:val="000C4CC7"/>
    <w:rsid w:val="000C5314"/>
    <w:rsid w:val="000C54E5"/>
    <w:rsid w:val="000C56ED"/>
    <w:rsid w:val="000C5B11"/>
    <w:rsid w:val="000C5ECB"/>
    <w:rsid w:val="000C65B8"/>
    <w:rsid w:val="000C7EA7"/>
    <w:rsid w:val="000D10D1"/>
    <w:rsid w:val="000E4008"/>
    <w:rsid w:val="000E462B"/>
    <w:rsid w:val="000E64F0"/>
    <w:rsid w:val="000F236C"/>
    <w:rsid w:val="000F3B63"/>
    <w:rsid w:val="000F64FC"/>
    <w:rsid w:val="00100A69"/>
    <w:rsid w:val="00101769"/>
    <w:rsid w:val="00106955"/>
    <w:rsid w:val="00107397"/>
    <w:rsid w:val="0010757F"/>
    <w:rsid w:val="00111AFB"/>
    <w:rsid w:val="00112EA4"/>
    <w:rsid w:val="0011324A"/>
    <w:rsid w:val="001149E2"/>
    <w:rsid w:val="00116640"/>
    <w:rsid w:val="00116C65"/>
    <w:rsid w:val="00117AAA"/>
    <w:rsid w:val="00123119"/>
    <w:rsid w:val="0012448E"/>
    <w:rsid w:val="001248A7"/>
    <w:rsid w:val="0012512C"/>
    <w:rsid w:val="00125F27"/>
    <w:rsid w:val="001274D0"/>
    <w:rsid w:val="001320CA"/>
    <w:rsid w:val="00135C75"/>
    <w:rsid w:val="00137EBF"/>
    <w:rsid w:val="00141D57"/>
    <w:rsid w:val="00144A8D"/>
    <w:rsid w:val="0014792B"/>
    <w:rsid w:val="001520BC"/>
    <w:rsid w:val="00155979"/>
    <w:rsid w:val="001565CF"/>
    <w:rsid w:val="00156676"/>
    <w:rsid w:val="001579A3"/>
    <w:rsid w:val="00157A00"/>
    <w:rsid w:val="00161601"/>
    <w:rsid w:val="00162132"/>
    <w:rsid w:val="001629FA"/>
    <w:rsid w:val="00170195"/>
    <w:rsid w:val="00170CB7"/>
    <w:rsid w:val="001739AA"/>
    <w:rsid w:val="00173AC7"/>
    <w:rsid w:val="0017458F"/>
    <w:rsid w:val="00175436"/>
    <w:rsid w:val="00175E68"/>
    <w:rsid w:val="00176BE6"/>
    <w:rsid w:val="00177213"/>
    <w:rsid w:val="0018133E"/>
    <w:rsid w:val="001858B8"/>
    <w:rsid w:val="0018783C"/>
    <w:rsid w:val="001879A6"/>
    <w:rsid w:val="00190285"/>
    <w:rsid w:val="001940E4"/>
    <w:rsid w:val="001954DC"/>
    <w:rsid w:val="001965DD"/>
    <w:rsid w:val="001A0C31"/>
    <w:rsid w:val="001A2651"/>
    <w:rsid w:val="001A4D3A"/>
    <w:rsid w:val="001A6540"/>
    <w:rsid w:val="001A65E1"/>
    <w:rsid w:val="001A70B2"/>
    <w:rsid w:val="001A7697"/>
    <w:rsid w:val="001A7F81"/>
    <w:rsid w:val="001B0705"/>
    <w:rsid w:val="001B1154"/>
    <w:rsid w:val="001B1346"/>
    <w:rsid w:val="001B34D0"/>
    <w:rsid w:val="001B4386"/>
    <w:rsid w:val="001B57F1"/>
    <w:rsid w:val="001B6F79"/>
    <w:rsid w:val="001C221E"/>
    <w:rsid w:val="001C392C"/>
    <w:rsid w:val="001C5450"/>
    <w:rsid w:val="001C5AF4"/>
    <w:rsid w:val="001D2AFE"/>
    <w:rsid w:val="001D396D"/>
    <w:rsid w:val="001D42FB"/>
    <w:rsid w:val="001E0226"/>
    <w:rsid w:val="001E07AC"/>
    <w:rsid w:val="001E0D92"/>
    <w:rsid w:val="001E2FB4"/>
    <w:rsid w:val="001E3CE0"/>
    <w:rsid w:val="001E4B44"/>
    <w:rsid w:val="001E4B6A"/>
    <w:rsid w:val="001E4F82"/>
    <w:rsid w:val="001E59ED"/>
    <w:rsid w:val="001E5DA4"/>
    <w:rsid w:val="001E740D"/>
    <w:rsid w:val="001F17FA"/>
    <w:rsid w:val="001F1CF9"/>
    <w:rsid w:val="001F4B5F"/>
    <w:rsid w:val="001F6102"/>
    <w:rsid w:val="00203EB6"/>
    <w:rsid w:val="00210E88"/>
    <w:rsid w:val="00211643"/>
    <w:rsid w:val="00212DA5"/>
    <w:rsid w:val="002138EC"/>
    <w:rsid w:val="002148CB"/>
    <w:rsid w:val="00215612"/>
    <w:rsid w:val="00216373"/>
    <w:rsid w:val="002206E6"/>
    <w:rsid w:val="00221ECA"/>
    <w:rsid w:val="00221F34"/>
    <w:rsid w:val="002239F0"/>
    <w:rsid w:val="0022600A"/>
    <w:rsid w:val="00226245"/>
    <w:rsid w:val="00234BEE"/>
    <w:rsid w:val="00234DCD"/>
    <w:rsid w:val="00236183"/>
    <w:rsid w:val="002406C7"/>
    <w:rsid w:val="00241863"/>
    <w:rsid w:val="00247359"/>
    <w:rsid w:val="00247631"/>
    <w:rsid w:val="0024783B"/>
    <w:rsid w:val="00247E6F"/>
    <w:rsid w:val="00247FE2"/>
    <w:rsid w:val="00251689"/>
    <w:rsid w:val="00253A58"/>
    <w:rsid w:val="00260E2C"/>
    <w:rsid w:val="00262ACA"/>
    <w:rsid w:val="00267BEC"/>
    <w:rsid w:val="0027082D"/>
    <w:rsid w:val="00271864"/>
    <w:rsid w:val="00271992"/>
    <w:rsid w:val="0027263A"/>
    <w:rsid w:val="00272744"/>
    <w:rsid w:val="00272899"/>
    <w:rsid w:val="002744E7"/>
    <w:rsid w:val="00277E51"/>
    <w:rsid w:val="00282777"/>
    <w:rsid w:val="00282B20"/>
    <w:rsid w:val="0028718E"/>
    <w:rsid w:val="00291B57"/>
    <w:rsid w:val="00291C76"/>
    <w:rsid w:val="002923E6"/>
    <w:rsid w:val="00295F13"/>
    <w:rsid w:val="002978D0"/>
    <w:rsid w:val="002A2435"/>
    <w:rsid w:val="002A261E"/>
    <w:rsid w:val="002A2B2F"/>
    <w:rsid w:val="002A6BBB"/>
    <w:rsid w:val="002B195A"/>
    <w:rsid w:val="002B210D"/>
    <w:rsid w:val="002B2352"/>
    <w:rsid w:val="002B243D"/>
    <w:rsid w:val="002B3A02"/>
    <w:rsid w:val="002B56EE"/>
    <w:rsid w:val="002B638C"/>
    <w:rsid w:val="002B7426"/>
    <w:rsid w:val="002B7C69"/>
    <w:rsid w:val="002C17FC"/>
    <w:rsid w:val="002C25FC"/>
    <w:rsid w:val="002C30C7"/>
    <w:rsid w:val="002C4A33"/>
    <w:rsid w:val="002C63E4"/>
    <w:rsid w:val="002C7537"/>
    <w:rsid w:val="002D3B5C"/>
    <w:rsid w:val="002D469B"/>
    <w:rsid w:val="002D5F2E"/>
    <w:rsid w:val="002D624C"/>
    <w:rsid w:val="002D6FA7"/>
    <w:rsid w:val="002D7163"/>
    <w:rsid w:val="002E155F"/>
    <w:rsid w:val="002E325E"/>
    <w:rsid w:val="002E41B5"/>
    <w:rsid w:val="002E5B69"/>
    <w:rsid w:val="002E64DC"/>
    <w:rsid w:val="002E6569"/>
    <w:rsid w:val="002F39B7"/>
    <w:rsid w:val="002F3DC7"/>
    <w:rsid w:val="002F6693"/>
    <w:rsid w:val="002F6718"/>
    <w:rsid w:val="002F7A3F"/>
    <w:rsid w:val="00302B00"/>
    <w:rsid w:val="00303EEB"/>
    <w:rsid w:val="00304141"/>
    <w:rsid w:val="00305B16"/>
    <w:rsid w:val="003069FE"/>
    <w:rsid w:val="00310196"/>
    <w:rsid w:val="00310BAA"/>
    <w:rsid w:val="00311C51"/>
    <w:rsid w:val="00313B92"/>
    <w:rsid w:val="00313D7E"/>
    <w:rsid w:val="003155EB"/>
    <w:rsid w:val="00316600"/>
    <w:rsid w:val="00316C27"/>
    <w:rsid w:val="003226D3"/>
    <w:rsid w:val="00325826"/>
    <w:rsid w:val="00326431"/>
    <w:rsid w:val="003272B3"/>
    <w:rsid w:val="00327B4A"/>
    <w:rsid w:val="00331336"/>
    <w:rsid w:val="003328C9"/>
    <w:rsid w:val="00334DEF"/>
    <w:rsid w:val="003360BD"/>
    <w:rsid w:val="00342F7E"/>
    <w:rsid w:val="00344625"/>
    <w:rsid w:val="003513D9"/>
    <w:rsid w:val="0035297D"/>
    <w:rsid w:val="00354A67"/>
    <w:rsid w:val="00355E84"/>
    <w:rsid w:val="00357CF1"/>
    <w:rsid w:val="00365802"/>
    <w:rsid w:val="00366F1F"/>
    <w:rsid w:val="00367A28"/>
    <w:rsid w:val="00370AE3"/>
    <w:rsid w:val="00371B77"/>
    <w:rsid w:val="0037201A"/>
    <w:rsid w:val="003747C0"/>
    <w:rsid w:val="00375140"/>
    <w:rsid w:val="00375B32"/>
    <w:rsid w:val="003807C9"/>
    <w:rsid w:val="00383A79"/>
    <w:rsid w:val="003905A7"/>
    <w:rsid w:val="003915E0"/>
    <w:rsid w:val="00391980"/>
    <w:rsid w:val="0039494F"/>
    <w:rsid w:val="003A5DFA"/>
    <w:rsid w:val="003A65D7"/>
    <w:rsid w:val="003A719B"/>
    <w:rsid w:val="003B14F2"/>
    <w:rsid w:val="003B1EDB"/>
    <w:rsid w:val="003B6F4C"/>
    <w:rsid w:val="003B7B57"/>
    <w:rsid w:val="003C10F6"/>
    <w:rsid w:val="003C24D1"/>
    <w:rsid w:val="003C5B10"/>
    <w:rsid w:val="003C772B"/>
    <w:rsid w:val="003D07A2"/>
    <w:rsid w:val="003D42D8"/>
    <w:rsid w:val="003D44C2"/>
    <w:rsid w:val="003D5327"/>
    <w:rsid w:val="003E11A4"/>
    <w:rsid w:val="003E2E25"/>
    <w:rsid w:val="003E3ED5"/>
    <w:rsid w:val="003E5FE6"/>
    <w:rsid w:val="003F0FA0"/>
    <w:rsid w:val="003F4278"/>
    <w:rsid w:val="003F4B57"/>
    <w:rsid w:val="003F4EF7"/>
    <w:rsid w:val="003F535E"/>
    <w:rsid w:val="003F5B24"/>
    <w:rsid w:val="003F5B30"/>
    <w:rsid w:val="003F5E80"/>
    <w:rsid w:val="003F6F6E"/>
    <w:rsid w:val="003F7E76"/>
    <w:rsid w:val="004004BA"/>
    <w:rsid w:val="004017D5"/>
    <w:rsid w:val="0040191B"/>
    <w:rsid w:val="004022A4"/>
    <w:rsid w:val="0040242C"/>
    <w:rsid w:val="00402B61"/>
    <w:rsid w:val="00403C8A"/>
    <w:rsid w:val="00405BE7"/>
    <w:rsid w:val="00414774"/>
    <w:rsid w:val="004154BF"/>
    <w:rsid w:val="00415B98"/>
    <w:rsid w:val="004172BB"/>
    <w:rsid w:val="004206BB"/>
    <w:rsid w:val="004206FA"/>
    <w:rsid w:val="004236A1"/>
    <w:rsid w:val="0042644D"/>
    <w:rsid w:val="004310DC"/>
    <w:rsid w:val="0043196D"/>
    <w:rsid w:val="00432F0D"/>
    <w:rsid w:val="00433243"/>
    <w:rsid w:val="00435414"/>
    <w:rsid w:val="004405EE"/>
    <w:rsid w:val="004408EE"/>
    <w:rsid w:val="00441AC0"/>
    <w:rsid w:val="004422A7"/>
    <w:rsid w:val="0044309D"/>
    <w:rsid w:val="004432A2"/>
    <w:rsid w:val="0044381F"/>
    <w:rsid w:val="0044559F"/>
    <w:rsid w:val="00446006"/>
    <w:rsid w:val="00447ED0"/>
    <w:rsid w:val="0045080D"/>
    <w:rsid w:val="00450855"/>
    <w:rsid w:val="004615DB"/>
    <w:rsid w:val="00465289"/>
    <w:rsid w:val="0046609C"/>
    <w:rsid w:val="00471D34"/>
    <w:rsid w:val="004747FD"/>
    <w:rsid w:val="004832E6"/>
    <w:rsid w:val="00484A85"/>
    <w:rsid w:val="004923F9"/>
    <w:rsid w:val="0049422B"/>
    <w:rsid w:val="00496AAF"/>
    <w:rsid w:val="004A0A94"/>
    <w:rsid w:val="004A22D7"/>
    <w:rsid w:val="004A24CC"/>
    <w:rsid w:val="004A43C5"/>
    <w:rsid w:val="004A49EF"/>
    <w:rsid w:val="004A4E51"/>
    <w:rsid w:val="004A570C"/>
    <w:rsid w:val="004A5C04"/>
    <w:rsid w:val="004A5ED8"/>
    <w:rsid w:val="004B22A1"/>
    <w:rsid w:val="004B2445"/>
    <w:rsid w:val="004B2D36"/>
    <w:rsid w:val="004B467A"/>
    <w:rsid w:val="004B4C65"/>
    <w:rsid w:val="004B54FF"/>
    <w:rsid w:val="004B75FF"/>
    <w:rsid w:val="004C1930"/>
    <w:rsid w:val="004C3130"/>
    <w:rsid w:val="004C4B3E"/>
    <w:rsid w:val="004C5154"/>
    <w:rsid w:val="004C5AC1"/>
    <w:rsid w:val="004C662F"/>
    <w:rsid w:val="004C6BB2"/>
    <w:rsid w:val="004C753A"/>
    <w:rsid w:val="004D322D"/>
    <w:rsid w:val="004D3744"/>
    <w:rsid w:val="004D4E73"/>
    <w:rsid w:val="004D5EDD"/>
    <w:rsid w:val="004D60C1"/>
    <w:rsid w:val="004D75AB"/>
    <w:rsid w:val="004E02ED"/>
    <w:rsid w:val="004E0B6C"/>
    <w:rsid w:val="004E128E"/>
    <w:rsid w:val="004E1F42"/>
    <w:rsid w:val="004E3D93"/>
    <w:rsid w:val="004E6103"/>
    <w:rsid w:val="004F2C1F"/>
    <w:rsid w:val="004F56B4"/>
    <w:rsid w:val="004F5DCF"/>
    <w:rsid w:val="004F75C6"/>
    <w:rsid w:val="0050262B"/>
    <w:rsid w:val="00502B8C"/>
    <w:rsid w:val="0050575A"/>
    <w:rsid w:val="00506372"/>
    <w:rsid w:val="005117DA"/>
    <w:rsid w:val="00511CDB"/>
    <w:rsid w:val="00514E17"/>
    <w:rsid w:val="005165B4"/>
    <w:rsid w:val="00520187"/>
    <w:rsid w:val="005207F9"/>
    <w:rsid w:val="00520ECD"/>
    <w:rsid w:val="00520EE7"/>
    <w:rsid w:val="00521F16"/>
    <w:rsid w:val="00523498"/>
    <w:rsid w:val="005252D7"/>
    <w:rsid w:val="00531ECF"/>
    <w:rsid w:val="00532D52"/>
    <w:rsid w:val="00534B1F"/>
    <w:rsid w:val="0053543E"/>
    <w:rsid w:val="005362F9"/>
    <w:rsid w:val="00536756"/>
    <w:rsid w:val="00537ECE"/>
    <w:rsid w:val="005404F3"/>
    <w:rsid w:val="0054099A"/>
    <w:rsid w:val="00541129"/>
    <w:rsid w:val="005420B4"/>
    <w:rsid w:val="005450BF"/>
    <w:rsid w:val="00545AE6"/>
    <w:rsid w:val="00545B71"/>
    <w:rsid w:val="00547261"/>
    <w:rsid w:val="00547333"/>
    <w:rsid w:val="0055158B"/>
    <w:rsid w:val="00552117"/>
    <w:rsid w:val="005524CC"/>
    <w:rsid w:val="005531FB"/>
    <w:rsid w:val="00554845"/>
    <w:rsid w:val="00555A61"/>
    <w:rsid w:val="00563197"/>
    <w:rsid w:val="0056482D"/>
    <w:rsid w:val="00564D0C"/>
    <w:rsid w:val="005663B4"/>
    <w:rsid w:val="00567D8F"/>
    <w:rsid w:val="0057081B"/>
    <w:rsid w:val="00571491"/>
    <w:rsid w:val="00573AAB"/>
    <w:rsid w:val="00576997"/>
    <w:rsid w:val="005775C7"/>
    <w:rsid w:val="0058426B"/>
    <w:rsid w:val="00587186"/>
    <w:rsid w:val="00590B20"/>
    <w:rsid w:val="00591822"/>
    <w:rsid w:val="00591EE1"/>
    <w:rsid w:val="00596D7D"/>
    <w:rsid w:val="00597573"/>
    <w:rsid w:val="00597707"/>
    <w:rsid w:val="00597772"/>
    <w:rsid w:val="00597B3A"/>
    <w:rsid w:val="005A1972"/>
    <w:rsid w:val="005A3CF1"/>
    <w:rsid w:val="005B0358"/>
    <w:rsid w:val="005B2161"/>
    <w:rsid w:val="005B595A"/>
    <w:rsid w:val="005B6512"/>
    <w:rsid w:val="005B6E67"/>
    <w:rsid w:val="005C1F5C"/>
    <w:rsid w:val="005C25E4"/>
    <w:rsid w:val="005C465C"/>
    <w:rsid w:val="005C6BD9"/>
    <w:rsid w:val="005C6FBF"/>
    <w:rsid w:val="005D2A90"/>
    <w:rsid w:val="005D4047"/>
    <w:rsid w:val="005D6D1A"/>
    <w:rsid w:val="005E0954"/>
    <w:rsid w:val="005E0C1A"/>
    <w:rsid w:val="005E4530"/>
    <w:rsid w:val="005E487D"/>
    <w:rsid w:val="005E557B"/>
    <w:rsid w:val="005E57A7"/>
    <w:rsid w:val="005E68D4"/>
    <w:rsid w:val="005E78D0"/>
    <w:rsid w:val="005F0851"/>
    <w:rsid w:val="005F2442"/>
    <w:rsid w:val="005F413A"/>
    <w:rsid w:val="005F5952"/>
    <w:rsid w:val="006011CC"/>
    <w:rsid w:val="00603C3A"/>
    <w:rsid w:val="00604455"/>
    <w:rsid w:val="00605884"/>
    <w:rsid w:val="00606377"/>
    <w:rsid w:val="00614997"/>
    <w:rsid w:val="006159D9"/>
    <w:rsid w:val="00616015"/>
    <w:rsid w:val="006173E8"/>
    <w:rsid w:val="0062116C"/>
    <w:rsid w:val="0062257A"/>
    <w:rsid w:val="006326D0"/>
    <w:rsid w:val="00634040"/>
    <w:rsid w:val="00635394"/>
    <w:rsid w:val="006354B0"/>
    <w:rsid w:val="00637D6C"/>
    <w:rsid w:val="00641ABD"/>
    <w:rsid w:val="0064485E"/>
    <w:rsid w:val="00645399"/>
    <w:rsid w:val="006453B8"/>
    <w:rsid w:val="00650EAB"/>
    <w:rsid w:val="006541DE"/>
    <w:rsid w:val="006557C7"/>
    <w:rsid w:val="00660C13"/>
    <w:rsid w:val="00662027"/>
    <w:rsid w:val="0066262A"/>
    <w:rsid w:val="00666D0B"/>
    <w:rsid w:val="00670747"/>
    <w:rsid w:val="00670C15"/>
    <w:rsid w:val="00670C29"/>
    <w:rsid w:val="00674B12"/>
    <w:rsid w:val="00680124"/>
    <w:rsid w:val="0068225A"/>
    <w:rsid w:val="0068255A"/>
    <w:rsid w:val="006828BB"/>
    <w:rsid w:val="00684297"/>
    <w:rsid w:val="00687F12"/>
    <w:rsid w:val="0069021B"/>
    <w:rsid w:val="0069025A"/>
    <w:rsid w:val="00690DCD"/>
    <w:rsid w:val="006935D2"/>
    <w:rsid w:val="006935F7"/>
    <w:rsid w:val="00694602"/>
    <w:rsid w:val="006947EF"/>
    <w:rsid w:val="006957FF"/>
    <w:rsid w:val="006A3177"/>
    <w:rsid w:val="006A58C0"/>
    <w:rsid w:val="006A5EFC"/>
    <w:rsid w:val="006A71A3"/>
    <w:rsid w:val="006A74B2"/>
    <w:rsid w:val="006B2C14"/>
    <w:rsid w:val="006B30FA"/>
    <w:rsid w:val="006B377B"/>
    <w:rsid w:val="006B3B92"/>
    <w:rsid w:val="006B60ED"/>
    <w:rsid w:val="006B69E7"/>
    <w:rsid w:val="006B7017"/>
    <w:rsid w:val="006B79D9"/>
    <w:rsid w:val="006B7F89"/>
    <w:rsid w:val="006C4476"/>
    <w:rsid w:val="006C5619"/>
    <w:rsid w:val="006D16A7"/>
    <w:rsid w:val="006D677B"/>
    <w:rsid w:val="006E19E2"/>
    <w:rsid w:val="006E37EF"/>
    <w:rsid w:val="006E39D8"/>
    <w:rsid w:val="006E4CE0"/>
    <w:rsid w:val="006E705D"/>
    <w:rsid w:val="006E7B7A"/>
    <w:rsid w:val="006F00B1"/>
    <w:rsid w:val="006F21D8"/>
    <w:rsid w:val="006F3DEC"/>
    <w:rsid w:val="006F403C"/>
    <w:rsid w:val="006F56DD"/>
    <w:rsid w:val="006F5F3B"/>
    <w:rsid w:val="006F7A02"/>
    <w:rsid w:val="0070122A"/>
    <w:rsid w:val="0070426C"/>
    <w:rsid w:val="00706E2B"/>
    <w:rsid w:val="0071130D"/>
    <w:rsid w:val="00711349"/>
    <w:rsid w:val="00712DD6"/>
    <w:rsid w:val="00713FC3"/>
    <w:rsid w:val="00721D41"/>
    <w:rsid w:val="007268F1"/>
    <w:rsid w:val="00730478"/>
    <w:rsid w:val="0073779C"/>
    <w:rsid w:val="00740162"/>
    <w:rsid w:val="00740F2D"/>
    <w:rsid w:val="00742068"/>
    <w:rsid w:val="00746C47"/>
    <w:rsid w:val="00753BAA"/>
    <w:rsid w:val="00755A3D"/>
    <w:rsid w:val="00764CA2"/>
    <w:rsid w:val="0076598A"/>
    <w:rsid w:val="00765D57"/>
    <w:rsid w:val="00767069"/>
    <w:rsid w:val="00772971"/>
    <w:rsid w:val="00773154"/>
    <w:rsid w:val="00776C75"/>
    <w:rsid w:val="0078053F"/>
    <w:rsid w:val="00781C1D"/>
    <w:rsid w:val="0078621E"/>
    <w:rsid w:val="0079066C"/>
    <w:rsid w:val="0079193C"/>
    <w:rsid w:val="0079478C"/>
    <w:rsid w:val="00795DD4"/>
    <w:rsid w:val="007A3DC7"/>
    <w:rsid w:val="007A4901"/>
    <w:rsid w:val="007A70D8"/>
    <w:rsid w:val="007A7C59"/>
    <w:rsid w:val="007B12D7"/>
    <w:rsid w:val="007B2D77"/>
    <w:rsid w:val="007B43FE"/>
    <w:rsid w:val="007B4A49"/>
    <w:rsid w:val="007B504E"/>
    <w:rsid w:val="007B5061"/>
    <w:rsid w:val="007B5DB1"/>
    <w:rsid w:val="007C0F59"/>
    <w:rsid w:val="007C2970"/>
    <w:rsid w:val="007C2B8B"/>
    <w:rsid w:val="007C40C3"/>
    <w:rsid w:val="007C5172"/>
    <w:rsid w:val="007C7B05"/>
    <w:rsid w:val="007D04E4"/>
    <w:rsid w:val="007D0926"/>
    <w:rsid w:val="007D2D76"/>
    <w:rsid w:val="007E2B66"/>
    <w:rsid w:val="007E2DD5"/>
    <w:rsid w:val="007E387F"/>
    <w:rsid w:val="007E4096"/>
    <w:rsid w:val="007E4C76"/>
    <w:rsid w:val="007E68E3"/>
    <w:rsid w:val="007E6EF7"/>
    <w:rsid w:val="007F367C"/>
    <w:rsid w:val="007F4AB8"/>
    <w:rsid w:val="007F4CC8"/>
    <w:rsid w:val="007F5165"/>
    <w:rsid w:val="00801BBC"/>
    <w:rsid w:val="00802CB5"/>
    <w:rsid w:val="00802D06"/>
    <w:rsid w:val="0080403D"/>
    <w:rsid w:val="00804642"/>
    <w:rsid w:val="00807D7B"/>
    <w:rsid w:val="008112E1"/>
    <w:rsid w:val="00811C33"/>
    <w:rsid w:val="0081644D"/>
    <w:rsid w:val="00816F4B"/>
    <w:rsid w:val="008212F0"/>
    <w:rsid w:val="00821C7E"/>
    <w:rsid w:val="00825F7F"/>
    <w:rsid w:val="00826AB9"/>
    <w:rsid w:val="00827391"/>
    <w:rsid w:val="008275B6"/>
    <w:rsid w:val="008328C0"/>
    <w:rsid w:val="00835246"/>
    <w:rsid w:val="0083582E"/>
    <w:rsid w:val="00837B52"/>
    <w:rsid w:val="00840743"/>
    <w:rsid w:val="00841CE5"/>
    <w:rsid w:val="00841E84"/>
    <w:rsid w:val="0084287E"/>
    <w:rsid w:val="00847A61"/>
    <w:rsid w:val="008522B7"/>
    <w:rsid w:val="008532D6"/>
    <w:rsid w:val="0085559D"/>
    <w:rsid w:val="008558D6"/>
    <w:rsid w:val="008561A4"/>
    <w:rsid w:val="00863730"/>
    <w:rsid w:val="00864E3F"/>
    <w:rsid w:val="00867983"/>
    <w:rsid w:val="00867F38"/>
    <w:rsid w:val="008709B5"/>
    <w:rsid w:val="008728A3"/>
    <w:rsid w:val="008742A2"/>
    <w:rsid w:val="00874804"/>
    <w:rsid w:val="00874DD8"/>
    <w:rsid w:val="00881070"/>
    <w:rsid w:val="008827FB"/>
    <w:rsid w:val="00882AA9"/>
    <w:rsid w:val="008855B0"/>
    <w:rsid w:val="00886317"/>
    <w:rsid w:val="00890760"/>
    <w:rsid w:val="00890B97"/>
    <w:rsid w:val="00894DA3"/>
    <w:rsid w:val="00896C8F"/>
    <w:rsid w:val="00897914"/>
    <w:rsid w:val="008A1BED"/>
    <w:rsid w:val="008A6332"/>
    <w:rsid w:val="008B08DB"/>
    <w:rsid w:val="008B3225"/>
    <w:rsid w:val="008B6A4D"/>
    <w:rsid w:val="008C40A4"/>
    <w:rsid w:val="008C4758"/>
    <w:rsid w:val="008C5DEB"/>
    <w:rsid w:val="008C6CEF"/>
    <w:rsid w:val="008D0E73"/>
    <w:rsid w:val="008D1AFC"/>
    <w:rsid w:val="008D2797"/>
    <w:rsid w:val="008D2F33"/>
    <w:rsid w:val="008D79D0"/>
    <w:rsid w:val="008E3691"/>
    <w:rsid w:val="008E7013"/>
    <w:rsid w:val="008E7B1E"/>
    <w:rsid w:val="008F0395"/>
    <w:rsid w:val="008F3FB2"/>
    <w:rsid w:val="008F70F9"/>
    <w:rsid w:val="0090022E"/>
    <w:rsid w:val="00901005"/>
    <w:rsid w:val="0090161E"/>
    <w:rsid w:val="00906960"/>
    <w:rsid w:val="00906E6F"/>
    <w:rsid w:val="00910B1A"/>
    <w:rsid w:val="00911197"/>
    <w:rsid w:val="009134F8"/>
    <w:rsid w:val="00914DB7"/>
    <w:rsid w:val="00914F85"/>
    <w:rsid w:val="009159C2"/>
    <w:rsid w:val="00917EEF"/>
    <w:rsid w:val="00920719"/>
    <w:rsid w:val="009209F4"/>
    <w:rsid w:val="00920D13"/>
    <w:rsid w:val="009211F2"/>
    <w:rsid w:val="0092469F"/>
    <w:rsid w:val="00927074"/>
    <w:rsid w:val="009325FF"/>
    <w:rsid w:val="00934102"/>
    <w:rsid w:val="0093423D"/>
    <w:rsid w:val="00934362"/>
    <w:rsid w:val="009359A9"/>
    <w:rsid w:val="00937CAF"/>
    <w:rsid w:val="00942CDF"/>
    <w:rsid w:val="009430DE"/>
    <w:rsid w:val="0094484A"/>
    <w:rsid w:val="009450CD"/>
    <w:rsid w:val="00947B67"/>
    <w:rsid w:val="009520DF"/>
    <w:rsid w:val="009536E1"/>
    <w:rsid w:val="00953FFC"/>
    <w:rsid w:val="00955A33"/>
    <w:rsid w:val="00956CFF"/>
    <w:rsid w:val="009570AB"/>
    <w:rsid w:val="009570BD"/>
    <w:rsid w:val="009654BE"/>
    <w:rsid w:val="00967681"/>
    <w:rsid w:val="009676D4"/>
    <w:rsid w:val="00970816"/>
    <w:rsid w:val="00973808"/>
    <w:rsid w:val="0097464D"/>
    <w:rsid w:val="00974DFE"/>
    <w:rsid w:val="009750D4"/>
    <w:rsid w:val="0097510F"/>
    <w:rsid w:val="009769DE"/>
    <w:rsid w:val="0097793A"/>
    <w:rsid w:val="00982A16"/>
    <w:rsid w:val="009833BE"/>
    <w:rsid w:val="009859EA"/>
    <w:rsid w:val="00986382"/>
    <w:rsid w:val="00987D6D"/>
    <w:rsid w:val="009900B3"/>
    <w:rsid w:val="009905DE"/>
    <w:rsid w:val="009958CF"/>
    <w:rsid w:val="0099762F"/>
    <w:rsid w:val="00997B17"/>
    <w:rsid w:val="009A51C2"/>
    <w:rsid w:val="009A51DF"/>
    <w:rsid w:val="009A5C7A"/>
    <w:rsid w:val="009A6244"/>
    <w:rsid w:val="009B0B05"/>
    <w:rsid w:val="009B27F5"/>
    <w:rsid w:val="009B4ECD"/>
    <w:rsid w:val="009B6E58"/>
    <w:rsid w:val="009B7FAF"/>
    <w:rsid w:val="009C08CC"/>
    <w:rsid w:val="009C2945"/>
    <w:rsid w:val="009C4FFD"/>
    <w:rsid w:val="009C62F4"/>
    <w:rsid w:val="009C6EAE"/>
    <w:rsid w:val="009D32C3"/>
    <w:rsid w:val="009D7C40"/>
    <w:rsid w:val="009E0F93"/>
    <w:rsid w:val="009E3C2F"/>
    <w:rsid w:val="009E7640"/>
    <w:rsid w:val="009E76F0"/>
    <w:rsid w:val="009E7E77"/>
    <w:rsid w:val="009F137A"/>
    <w:rsid w:val="009F1FA4"/>
    <w:rsid w:val="009F2A6D"/>
    <w:rsid w:val="009F3DBA"/>
    <w:rsid w:val="009F7CA4"/>
    <w:rsid w:val="00A00F34"/>
    <w:rsid w:val="00A017AA"/>
    <w:rsid w:val="00A06C2F"/>
    <w:rsid w:val="00A06E8B"/>
    <w:rsid w:val="00A109B8"/>
    <w:rsid w:val="00A1190D"/>
    <w:rsid w:val="00A125AD"/>
    <w:rsid w:val="00A126F5"/>
    <w:rsid w:val="00A1301D"/>
    <w:rsid w:val="00A1557D"/>
    <w:rsid w:val="00A15A56"/>
    <w:rsid w:val="00A1736B"/>
    <w:rsid w:val="00A21226"/>
    <w:rsid w:val="00A22DC1"/>
    <w:rsid w:val="00A2332F"/>
    <w:rsid w:val="00A25FCF"/>
    <w:rsid w:val="00A2684F"/>
    <w:rsid w:val="00A26CAA"/>
    <w:rsid w:val="00A34111"/>
    <w:rsid w:val="00A40CFC"/>
    <w:rsid w:val="00A42F88"/>
    <w:rsid w:val="00A4388B"/>
    <w:rsid w:val="00A44170"/>
    <w:rsid w:val="00A45936"/>
    <w:rsid w:val="00A46398"/>
    <w:rsid w:val="00A47271"/>
    <w:rsid w:val="00A53E6E"/>
    <w:rsid w:val="00A606ED"/>
    <w:rsid w:val="00A62CE4"/>
    <w:rsid w:val="00A65C36"/>
    <w:rsid w:val="00A6609C"/>
    <w:rsid w:val="00A713C0"/>
    <w:rsid w:val="00A72671"/>
    <w:rsid w:val="00A72C00"/>
    <w:rsid w:val="00A74F6E"/>
    <w:rsid w:val="00A75B43"/>
    <w:rsid w:val="00A76D3C"/>
    <w:rsid w:val="00A81ECA"/>
    <w:rsid w:val="00A822D5"/>
    <w:rsid w:val="00A83697"/>
    <w:rsid w:val="00A84072"/>
    <w:rsid w:val="00A90D95"/>
    <w:rsid w:val="00A924DA"/>
    <w:rsid w:val="00A94F6B"/>
    <w:rsid w:val="00A95A81"/>
    <w:rsid w:val="00A968D8"/>
    <w:rsid w:val="00A9730A"/>
    <w:rsid w:val="00A979EC"/>
    <w:rsid w:val="00A97D46"/>
    <w:rsid w:val="00AA0096"/>
    <w:rsid w:val="00AA3606"/>
    <w:rsid w:val="00AA6BF0"/>
    <w:rsid w:val="00AA6DEE"/>
    <w:rsid w:val="00AB329C"/>
    <w:rsid w:val="00AB579A"/>
    <w:rsid w:val="00AB5B66"/>
    <w:rsid w:val="00AB64DC"/>
    <w:rsid w:val="00AC2D78"/>
    <w:rsid w:val="00AC5FB5"/>
    <w:rsid w:val="00AD2898"/>
    <w:rsid w:val="00AD2C34"/>
    <w:rsid w:val="00AD54D9"/>
    <w:rsid w:val="00AE12F7"/>
    <w:rsid w:val="00AE1D30"/>
    <w:rsid w:val="00AE3541"/>
    <w:rsid w:val="00AE4828"/>
    <w:rsid w:val="00AE596D"/>
    <w:rsid w:val="00AF0274"/>
    <w:rsid w:val="00AF4A79"/>
    <w:rsid w:val="00AF5E14"/>
    <w:rsid w:val="00B0002E"/>
    <w:rsid w:val="00B00E46"/>
    <w:rsid w:val="00B05E77"/>
    <w:rsid w:val="00B068D0"/>
    <w:rsid w:val="00B07100"/>
    <w:rsid w:val="00B07240"/>
    <w:rsid w:val="00B07DE3"/>
    <w:rsid w:val="00B102FA"/>
    <w:rsid w:val="00B10F7D"/>
    <w:rsid w:val="00B14CFB"/>
    <w:rsid w:val="00B2170C"/>
    <w:rsid w:val="00B22189"/>
    <w:rsid w:val="00B23D81"/>
    <w:rsid w:val="00B2454C"/>
    <w:rsid w:val="00B30A53"/>
    <w:rsid w:val="00B30ADC"/>
    <w:rsid w:val="00B3257E"/>
    <w:rsid w:val="00B34EAF"/>
    <w:rsid w:val="00B3674D"/>
    <w:rsid w:val="00B414E2"/>
    <w:rsid w:val="00B42CF1"/>
    <w:rsid w:val="00B43CC5"/>
    <w:rsid w:val="00B44AF5"/>
    <w:rsid w:val="00B4679A"/>
    <w:rsid w:val="00B54504"/>
    <w:rsid w:val="00B55614"/>
    <w:rsid w:val="00B55769"/>
    <w:rsid w:val="00B56432"/>
    <w:rsid w:val="00B60126"/>
    <w:rsid w:val="00B6058D"/>
    <w:rsid w:val="00B607CC"/>
    <w:rsid w:val="00B6228A"/>
    <w:rsid w:val="00B63640"/>
    <w:rsid w:val="00B63C01"/>
    <w:rsid w:val="00B6487D"/>
    <w:rsid w:val="00B64DF3"/>
    <w:rsid w:val="00B65885"/>
    <w:rsid w:val="00B71FF4"/>
    <w:rsid w:val="00B74136"/>
    <w:rsid w:val="00B81277"/>
    <w:rsid w:val="00B83915"/>
    <w:rsid w:val="00B84A7E"/>
    <w:rsid w:val="00B85780"/>
    <w:rsid w:val="00B90218"/>
    <w:rsid w:val="00B92075"/>
    <w:rsid w:val="00B92594"/>
    <w:rsid w:val="00B94657"/>
    <w:rsid w:val="00B963AB"/>
    <w:rsid w:val="00B97D2F"/>
    <w:rsid w:val="00BA1E07"/>
    <w:rsid w:val="00BA21B0"/>
    <w:rsid w:val="00BA3339"/>
    <w:rsid w:val="00BA356A"/>
    <w:rsid w:val="00BA36ED"/>
    <w:rsid w:val="00BA3A1A"/>
    <w:rsid w:val="00BA3C6D"/>
    <w:rsid w:val="00BA53BE"/>
    <w:rsid w:val="00BB2F30"/>
    <w:rsid w:val="00BB7399"/>
    <w:rsid w:val="00BC41B4"/>
    <w:rsid w:val="00BC66AD"/>
    <w:rsid w:val="00BC79B8"/>
    <w:rsid w:val="00BD0786"/>
    <w:rsid w:val="00BD0F2F"/>
    <w:rsid w:val="00BD589E"/>
    <w:rsid w:val="00BD76C3"/>
    <w:rsid w:val="00BE035F"/>
    <w:rsid w:val="00BE0FC8"/>
    <w:rsid w:val="00BE1B7B"/>
    <w:rsid w:val="00BE5928"/>
    <w:rsid w:val="00BE59FF"/>
    <w:rsid w:val="00BE6248"/>
    <w:rsid w:val="00BE6CCF"/>
    <w:rsid w:val="00BE793B"/>
    <w:rsid w:val="00BF03D4"/>
    <w:rsid w:val="00BF38DF"/>
    <w:rsid w:val="00BF58C3"/>
    <w:rsid w:val="00BF773F"/>
    <w:rsid w:val="00BF784C"/>
    <w:rsid w:val="00C017F0"/>
    <w:rsid w:val="00C02981"/>
    <w:rsid w:val="00C05875"/>
    <w:rsid w:val="00C060D0"/>
    <w:rsid w:val="00C06C05"/>
    <w:rsid w:val="00C14F51"/>
    <w:rsid w:val="00C156A2"/>
    <w:rsid w:val="00C15E5E"/>
    <w:rsid w:val="00C201D8"/>
    <w:rsid w:val="00C20AAA"/>
    <w:rsid w:val="00C21B98"/>
    <w:rsid w:val="00C23FF1"/>
    <w:rsid w:val="00C2632C"/>
    <w:rsid w:val="00C271D5"/>
    <w:rsid w:val="00C30930"/>
    <w:rsid w:val="00C31384"/>
    <w:rsid w:val="00C34571"/>
    <w:rsid w:val="00C35EA7"/>
    <w:rsid w:val="00C37B02"/>
    <w:rsid w:val="00C37B1A"/>
    <w:rsid w:val="00C44B0E"/>
    <w:rsid w:val="00C4600E"/>
    <w:rsid w:val="00C46A99"/>
    <w:rsid w:val="00C5051F"/>
    <w:rsid w:val="00C50E25"/>
    <w:rsid w:val="00C54E21"/>
    <w:rsid w:val="00C55BA9"/>
    <w:rsid w:val="00C57441"/>
    <w:rsid w:val="00C57550"/>
    <w:rsid w:val="00C615AB"/>
    <w:rsid w:val="00C62758"/>
    <w:rsid w:val="00C64836"/>
    <w:rsid w:val="00C65E7A"/>
    <w:rsid w:val="00C72347"/>
    <w:rsid w:val="00C7337B"/>
    <w:rsid w:val="00C76F7C"/>
    <w:rsid w:val="00C831D7"/>
    <w:rsid w:val="00C86394"/>
    <w:rsid w:val="00CA54DB"/>
    <w:rsid w:val="00CB6947"/>
    <w:rsid w:val="00CC2A17"/>
    <w:rsid w:val="00CC3FF2"/>
    <w:rsid w:val="00CC4E71"/>
    <w:rsid w:val="00CC4F87"/>
    <w:rsid w:val="00CD04D0"/>
    <w:rsid w:val="00CD3157"/>
    <w:rsid w:val="00CD38E4"/>
    <w:rsid w:val="00CD578B"/>
    <w:rsid w:val="00CE01C7"/>
    <w:rsid w:val="00CE1EC0"/>
    <w:rsid w:val="00CE24D4"/>
    <w:rsid w:val="00CE611F"/>
    <w:rsid w:val="00CF096C"/>
    <w:rsid w:val="00CF0F27"/>
    <w:rsid w:val="00CF133E"/>
    <w:rsid w:val="00CF14FB"/>
    <w:rsid w:val="00CF7A9B"/>
    <w:rsid w:val="00D019AE"/>
    <w:rsid w:val="00D01B2F"/>
    <w:rsid w:val="00D0391B"/>
    <w:rsid w:val="00D10487"/>
    <w:rsid w:val="00D11633"/>
    <w:rsid w:val="00D13018"/>
    <w:rsid w:val="00D17EE5"/>
    <w:rsid w:val="00D2011F"/>
    <w:rsid w:val="00D203ED"/>
    <w:rsid w:val="00D2090F"/>
    <w:rsid w:val="00D21AA3"/>
    <w:rsid w:val="00D23856"/>
    <w:rsid w:val="00D241CD"/>
    <w:rsid w:val="00D2565B"/>
    <w:rsid w:val="00D273E2"/>
    <w:rsid w:val="00D30EAA"/>
    <w:rsid w:val="00D3117C"/>
    <w:rsid w:val="00D3371B"/>
    <w:rsid w:val="00D354FC"/>
    <w:rsid w:val="00D362AF"/>
    <w:rsid w:val="00D377C8"/>
    <w:rsid w:val="00D37E07"/>
    <w:rsid w:val="00D43C06"/>
    <w:rsid w:val="00D43CE6"/>
    <w:rsid w:val="00D44D91"/>
    <w:rsid w:val="00D4540D"/>
    <w:rsid w:val="00D467CB"/>
    <w:rsid w:val="00D46D2B"/>
    <w:rsid w:val="00D46E2B"/>
    <w:rsid w:val="00D4740C"/>
    <w:rsid w:val="00D509A7"/>
    <w:rsid w:val="00D53919"/>
    <w:rsid w:val="00D5521F"/>
    <w:rsid w:val="00D564FC"/>
    <w:rsid w:val="00D60DED"/>
    <w:rsid w:val="00D62AA4"/>
    <w:rsid w:val="00D70DED"/>
    <w:rsid w:val="00D71C86"/>
    <w:rsid w:val="00D7234E"/>
    <w:rsid w:val="00D72D97"/>
    <w:rsid w:val="00D739A6"/>
    <w:rsid w:val="00D73D53"/>
    <w:rsid w:val="00D744E8"/>
    <w:rsid w:val="00D7631D"/>
    <w:rsid w:val="00D80CE1"/>
    <w:rsid w:val="00D869C9"/>
    <w:rsid w:val="00D86D27"/>
    <w:rsid w:val="00D8730F"/>
    <w:rsid w:val="00D877B1"/>
    <w:rsid w:val="00D900A7"/>
    <w:rsid w:val="00D90588"/>
    <w:rsid w:val="00D90BCE"/>
    <w:rsid w:val="00D90CE7"/>
    <w:rsid w:val="00D944FA"/>
    <w:rsid w:val="00D951B4"/>
    <w:rsid w:val="00D96B3A"/>
    <w:rsid w:val="00D9722B"/>
    <w:rsid w:val="00D97E86"/>
    <w:rsid w:val="00DA0717"/>
    <w:rsid w:val="00DA23DD"/>
    <w:rsid w:val="00DB06E8"/>
    <w:rsid w:val="00DB14C7"/>
    <w:rsid w:val="00DB35D6"/>
    <w:rsid w:val="00DB6C58"/>
    <w:rsid w:val="00DC03EB"/>
    <w:rsid w:val="00DC316E"/>
    <w:rsid w:val="00DC3E58"/>
    <w:rsid w:val="00DC5A64"/>
    <w:rsid w:val="00DD4EA8"/>
    <w:rsid w:val="00DD6E22"/>
    <w:rsid w:val="00DD765C"/>
    <w:rsid w:val="00DE02E7"/>
    <w:rsid w:val="00DE0EF7"/>
    <w:rsid w:val="00DE3EEB"/>
    <w:rsid w:val="00DF2D03"/>
    <w:rsid w:val="00DF66EB"/>
    <w:rsid w:val="00E00B23"/>
    <w:rsid w:val="00E01FDB"/>
    <w:rsid w:val="00E031D9"/>
    <w:rsid w:val="00E11C0C"/>
    <w:rsid w:val="00E1328A"/>
    <w:rsid w:val="00E13CC8"/>
    <w:rsid w:val="00E13DEA"/>
    <w:rsid w:val="00E17F62"/>
    <w:rsid w:val="00E24E30"/>
    <w:rsid w:val="00E266CF"/>
    <w:rsid w:val="00E30AA7"/>
    <w:rsid w:val="00E36B16"/>
    <w:rsid w:val="00E36CCA"/>
    <w:rsid w:val="00E37C87"/>
    <w:rsid w:val="00E41C46"/>
    <w:rsid w:val="00E41D84"/>
    <w:rsid w:val="00E42088"/>
    <w:rsid w:val="00E42217"/>
    <w:rsid w:val="00E447B7"/>
    <w:rsid w:val="00E4494A"/>
    <w:rsid w:val="00E5051C"/>
    <w:rsid w:val="00E50E67"/>
    <w:rsid w:val="00E54C83"/>
    <w:rsid w:val="00E562B7"/>
    <w:rsid w:val="00E56624"/>
    <w:rsid w:val="00E60246"/>
    <w:rsid w:val="00E61C0F"/>
    <w:rsid w:val="00E71009"/>
    <w:rsid w:val="00E7125D"/>
    <w:rsid w:val="00E73108"/>
    <w:rsid w:val="00E753FD"/>
    <w:rsid w:val="00E8039B"/>
    <w:rsid w:val="00E80533"/>
    <w:rsid w:val="00E812A8"/>
    <w:rsid w:val="00E826A9"/>
    <w:rsid w:val="00E8377F"/>
    <w:rsid w:val="00E84D52"/>
    <w:rsid w:val="00E860A0"/>
    <w:rsid w:val="00E86C4B"/>
    <w:rsid w:val="00E87DCB"/>
    <w:rsid w:val="00E9187E"/>
    <w:rsid w:val="00E91B6C"/>
    <w:rsid w:val="00E93571"/>
    <w:rsid w:val="00E97EE5"/>
    <w:rsid w:val="00EA2052"/>
    <w:rsid w:val="00EA21A4"/>
    <w:rsid w:val="00EA25B8"/>
    <w:rsid w:val="00EA312F"/>
    <w:rsid w:val="00EA6462"/>
    <w:rsid w:val="00EA7B1D"/>
    <w:rsid w:val="00EB3D04"/>
    <w:rsid w:val="00EB574C"/>
    <w:rsid w:val="00EB7464"/>
    <w:rsid w:val="00EB78EB"/>
    <w:rsid w:val="00EC301E"/>
    <w:rsid w:val="00EC3DB4"/>
    <w:rsid w:val="00EC5826"/>
    <w:rsid w:val="00EC7337"/>
    <w:rsid w:val="00ED024D"/>
    <w:rsid w:val="00ED1BCC"/>
    <w:rsid w:val="00EE2123"/>
    <w:rsid w:val="00EE3346"/>
    <w:rsid w:val="00EE4C02"/>
    <w:rsid w:val="00EE67D7"/>
    <w:rsid w:val="00EF0CDF"/>
    <w:rsid w:val="00EF1441"/>
    <w:rsid w:val="00EF2E70"/>
    <w:rsid w:val="00EF3525"/>
    <w:rsid w:val="00EF4563"/>
    <w:rsid w:val="00F024E7"/>
    <w:rsid w:val="00F06CE0"/>
    <w:rsid w:val="00F072BE"/>
    <w:rsid w:val="00F07DFF"/>
    <w:rsid w:val="00F117AE"/>
    <w:rsid w:val="00F1181E"/>
    <w:rsid w:val="00F12581"/>
    <w:rsid w:val="00F126B6"/>
    <w:rsid w:val="00F12B0A"/>
    <w:rsid w:val="00F15F86"/>
    <w:rsid w:val="00F20301"/>
    <w:rsid w:val="00F2372A"/>
    <w:rsid w:val="00F239FA"/>
    <w:rsid w:val="00F24043"/>
    <w:rsid w:val="00F253A6"/>
    <w:rsid w:val="00F2723C"/>
    <w:rsid w:val="00F27F02"/>
    <w:rsid w:val="00F327AA"/>
    <w:rsid w:val="00F32EF1"/>
    <w:rsid w:val="00F33039"/>
    <w:rsid w:val="00F33231"/>
    <w:rsid w:val="00F34942"/>
    <w:rsid w:val="00F40477"/>
    <w:rsid w:val="00F423C9"/>
    <w:rsid w:val="00F45722"/>
    <w:rsid w:val="00F5118F"/>
    <w:rsid w:val="00F51C13"/>
    <w:rsid w:val="00F5591A"/>
    <w:rsid w:val="00F612CF"/>
    <w:rsid w:val="00F6234A"/>
    <w:rsid w:val="00F62CC4"/>
    <w:rsid w:val="00F63722"/>
    <w:rsid w:val="00F6450A"/>
    <w:rsid w:val="00F65FED"/>
    <w:rsid w:val="00F7045F"/>
    <w:rsid w:val="00F70BB2"/>
    <w:rsid w:val="00F70E44"/>
    <w:rsid w:val="00F73C9C"/>
    <w:rsid w:val="00F81318"/>
    <w:rsid w:val="00F82F08"/>
    <w:rsid w:val="00F83008"/>
    <w:rsid w:val="00F84287"/>
    <w:rsid w:val="00F85A1A"/>
    <w:rsid w:val="00F87300"/>
    <w:rsid w:val="00F87516"/>
    <w:rsid w:val="00F878B9"/>
    <w:rsid w:val="00F908AE"/>
    <w:rsid w:val="00F91876"/>
    <w:rsid w:val="00F91AFE"/>
    <w:rsid w:val="00F92A54"/>
    <w:rsid w:val="00F97D96"/>
    <w:rsid w:val="00FA1905"/>
    <w:rsid w:val="00FA274A"/>
    <w:rsid w:val="00FA2AE6"/>
    <w:rsid w:val="00FA2B4E"/>
    <w:rsid w:val="00FA3F50"/>
    <w:rsid w:val="00FA6969"/>
    <w:rsid w:val="00FA71CE"/>
    <w:rsid w:val="00FB18EF"/>
    <w:rsid w:val="00FB283F"/>
    <w:rsid w:val="00FB6FE8"/>
    <w:rsid w:val="00FB73EE"/>
    <w:rsid w:val="00FC13A1"/>
    <w:rsid w:val="00FC13C2"/>
    <w:rsid w:val="00FC310B"/>
    <w:rsid w:val="00FC55FA"/>
    <w:rsid w:val="00FC73ED"/>
    <w:rsid w:val="00FD101A"/>
    <w:rsid w:val="00FE005A"/>
    <w:rsid w:val="00FE437E"/>
    <w:rsid w:val="00FE4CA4"/>
    <w:rsid w:val="00FE6F58"/>
    <w:rsid w:val="00FE7B43"/>
    <w:rsid w:val="00FF5D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39898"/>
  <w15:chartTrackingRefBased/>
  <w15:docId w15:val="{DB0E05BC-099C-45CC-A021-24A41FBF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79D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06CE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06CE0"/>
    <w:rPr>
      <w:rFonts w:ascii="Segoe UI" w:hAnsi="Segoe UI" w:cs="Segoe UI"/>
      <w:sz w:val="18"/>
      <w:szCs w:val="18"/>
    </w:rPr>
  </w:style>
  <w:style w:type="paragraph" w:styleId="Bezatstarpm">
    <w:name w:val="No Spacing"/>
    <w:uiPriority w:val="1"/>
    <w:qFormat/>
    <w:rsid w:val="0035297D"/>
    <w:pPr>
      <w:spacing w:after="0" w:line="240" w:lineRule="auto"/>
    </w:pPr>
    <w:rPr>
      <w:rFonts w:ascii="Calibri" w:eastAsia="Calibri" w:hAnsi="Calibri" w:cs="Times New Roman"/>
    </w:rPr>
  </w:style>
  <w:style w:type="paragraph" w:customStyle="1" w:styleId="apakvsirsraksts2">
    <w:name w:val="apakvsirsraksts 2"/>
    <w:basedOn w:val="Parasts"/>
    <w:link w:val="apakvsirsraksts2Rakstz"/>
    <w:qFormat/>
    <w:rsid w:val="009C2945"/>
    <w:rPr>
      <w:b/>
      <w:u w:val="single"/>
    </w:rPr>
  </w:style>
  <w:style w:type="character" w:customStyle="1" w:styleId="apakvsirsraksts2Rakstz">
    <w:name w:val="apakvsirsraksts 2 Rakstz."/>
    <w:basedOn w:val="Noklusjumarindkopasfonts"/>
    <w:link w:val="apakvsirsraksts2"/>
    <w:rsid w:val="009C2945"/>
    <w:rPr>
      <w:b/>
      <w:u w:val="single"/>
    </w:rPr>
  </w:style>
  <w:style w:type="paragraph" w:styleId="Sarakstarindkopa">
    <w:name w:val="List Paragraph"/>
    <w:aliases w:val="2,Akapit z listą BS,Bullet 1,Bullet Points,Dot pt,F5 List Paragraph,IFCL - List Paragraph,Indicator Text,List Paragraph Char Char Char,List Paragraph1,List Paragraph12,MAIN CONTENT,Numbered Para 1,OBC Bullet,Punkti ar numuriem,Strip"/>
    <w:basedOn w:val="Parasts"/>
    <w:link w:val="SarakstarindkopaRakstz"/>
    <w:uiPriority w:val="34"/>
    <w:qFormat/>
    <w:rsid w:val="009C2945"/>
    <w:pPr>
      <w:ind w:left="720"/>
      <w:contextualSpacing/>
    </w:pPr>
  </w:style>
  <w:style w:type="table" w:styleId="Reatabula">
    <w:name w:val="Table Grid"/>
    <w:basedOn w:val="Parastatabula"/>
    <w:uiPriority w:val="59"/>
    <w:rsid w:val="003F5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E354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E3541"/>
  </w:style>
  <w:style w:type="paragraph" w:styleId="Kjene">
    <w:name w:val="footer"/>
    <w:basedOn w:val="Parasts"/>
    <w:link w:val="KjeneRakstz"/>
    <w:uiPriority w:val="99"/>
    <w:unhideWhenUsed/>
    <w:rsid w:val="00AE354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E3541"/>
  </w:style>
  <w:style w:type="character" w:styleId="Izteiksmgs">
    <w:name w:val="Strong"/>
    <w:basedOn w:val="Noklusjumarindkopasfonts"/>
    <w:uiPriority w:val="22"/>
    <w:qFormat/>
    <w:rsid w:val="00CE611F"/>
    <w:rPr>
      <w:b/>
      <w:bCs/>
    </w:rPr>
  </w:style>
  <w:style w:type="character" w:styleId="Izclums">
    <w:name w:val="Emphasis"/>
    <w:basedOn w:val="Noklusjumarindkopasfonts"/>
    <w:uiPriority w:val="20"/>
    <w:qFormat/>
    <w:rsid w:val="00CE611F"/>
    <w:rPr>
      <w:i/>
      <w:iCs/>
    </w:rPr>
  </w:style>
  <w:style w:type="character" w:styleId="Hipersaite">
    <w:name w:val="Hyperlink"/>
    <w:basedOn w:val="Noklusjumarindkopasfonts"/>
    <w:uiPriority w:val="99"/>
    <w:semiHidden/>
    <w:unhideWhenUsed/>
    <w:rsid w:val="00F87516"/>
    <w:rPr>
      <w:color w:val="0000FF"/>
      <w:u w:val="single"/>
    </w:rPr>
  </w:style>
  <w:style w:type="paragraph" w:styleId="Paraststmeklis">
    <w:name w:val="Normal (Web)"/>
    <w:basedOn w:val="Parasts"/>
    <w:uiPriority w:val="99"/>
    <w:unhideWhenUsed/>
    <w:rsid w:val="00F87516"/>
    <w:pPr>
      <w:spacing w:after="0" w:line="240" w:lineRule="auto"/>
    </w:pPr>
    <w:rPr>
      <w:rFonts w:ascii="Aptos" w:hAnsi="Aptos" w:cs="Aptos"/>
      <w:sz w:val="24"/>
      <w:szCs w:val="24"/>
      <w:lang w:eastAsia="lv-LV"/>
    </w:rPr>
  </w:style>
  <w:style w:type="paragraph" w:styleId="Pamatteksts3">
    <w:name w:val="Body Text 3"/>
    <w:basedOn w:val="Parasts"/>
    <w:link w:val="Pamatteksts3Rakstz"/>
    <w:rsid w:val="00247FE2"/>
    <w:pPr>
      <w:spacing w:after="0" w:line="240" w:lineRule="auto"/>
      <w:jc w:val="both"/>
    </w:pPr>
    <w:rPr>
      <w:rFonts w:ascii="Times New Roman" w:eastAsia="Times New Roman" w:hAnsi="Times New Roman" w:cs="Times New Roman"/>
      <w:b/>
      <w:i/>
      <w:sz w:val="24"/>
      <w:szCs w:val="20"/>
      <w:lang w:val="x-none"/>
    </w:rPr>
  </w:style>
  <w:style w:type="character" w:customStyle="1" w:styleId="Pamatteksts3Rakstz">
    <w:name w:val="Pamatteksts 3 Rakstz."/>
    <w:basedOn w:val="Noklusjumarindkopasfonts"/>
    <w:link w:val="Pamatteksts3"/>
    <w:rsid w:val="00247FE2"/>
    <w:rPr>
      <w:rFonts w:ascii="Times New Roman" w:eastAsia="Times New Roman" w:hAnsi="Times New Roman" w:cs="Times New Roman"/>
      <w:b/>
      <w:i/>
      <w:sz w:val="24"/>
      <w:szCs w:val="20"/>
      <w:lang w:val="x-none"/>
    </w:rPr>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link w:val="Sarakstarindkopa"/>
    <w:uiPriority w:val="34"/>
    <w:qFormat/>
    <w:locked/>
    <w:rsid w:val="005C2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9315">
      <w:bodyDiv w:val="1"/>
      <w:marLeft w:val="0"/>
      <w:marRight w:val="0"/>
      <w:marTop w:val="0"/>
      <w:marBottom w:val="0"/>
      <w:divBdr>
        <w:top w:val="none" w:sz="0" w:space="0" w:color="auto"/>
        <w:left w:val="none" w:sz="0" w:space="0" w:color="auto"/>
        <w:bottom w:val="none" w:sz="0" w:space="0" w:color="auto"/>
        <w:right w:val="none" w:sz="0" w:space="0" w:color="auto"/>
      </w:divBdr>
    </w:div>
    <w:div w:id="1124151439">
      <w:bodyDiv w:val="1"/>
      <w:marLeft w:val="0"/>
      <w:marRight w:val="0"/>
      <w:marTop w:val="0"/>
      <w:marBottom w:val="0"/>
      <w:divBdr>
        <w:top w:val="none" w:sz="0" w:space="0" w:color="auto"/>
        <w:left w:val="none" w:sz="0" w:space="0" w:color="auto"/>
        <w:bottom w:val="none" w:sz="0" w:space="0" w:color="auto"/>
        <w:right w:val="none" w:sz="0" w:space="0" w:color="auto"/>
      </w:divBdr>
    </w:div>
    <w:div w:id="1191259576">
      <w:bodyDiv w:val="1"/>
      <w:marLeft w:val="0"/>
      <w:marRight w:val="0"/>
      <w:marTop w:val="0"/>
      <w:marBottom w:val="0"/>
      <w:divBdr>
        <w:top w:val="none" w:sz="0" w:space="0" w:color="auto"/>
        <w:left w:val="none" w:sz="0" w:space="0" w:color="auto"/>
        <w:bottom w:val="none" w:sz="0" w:space="0" w:color="auto"/>
        <w:right w:val="none" w:sz="0" w:space="0" w:color="auto"/>
      </w:divBdr>
    </w:div>
    <w:div w:id="1537500391">
      <w:bodyDiv w:val="1"/>
      <w:marLeft w:val="0"/>
      <w:marRight w:val="0"/>
      <w:marTop w:val="0"/>
      <w:marBottom w:val="0"/>
      <w:divBdr>
        <w:top w:val="none" w:sz="0" w:space="0" w:color="auto"/>
        <w:left w:val="none" w:sz="0" w:space="0" w:color="auto"/>
        <w:bottom w:val="none" w:sz="0" w:space="0" w:color="auto"/>
        <w:right w:val="none" w:sz="0" w:space="0" w:color="auto"/>
      </w:divBdr>
    </w:div>
    <w:div w:id="1893540714">
      <w:bodyDiv w:val="1"/>
      <w:marLeft w:val="0"/>
      <w:marRight w:val="0"/>
      <w:marTop w:val="0"/>
      <w:marBottom w:val="0"/>
      <w:divBdr>
        <w:top w:val="none" w:sz="0" w:space="0" w:color="auto"/>
        <w:left w:val="none" w:sz="0" w:space="0" w:color="auto"/>
        <w:bottom w:val="none" w:sz="0" w:space="0" w:color="auto"/>
        <w:right w:val="none" w:sz="0" w:space="0" w:color="auto"/>
      </w:divBdr>
    </w:div>
    <w:div w:id="206151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cmc.lv/studiju-programmas/arodizglitiba/maszinibas-masas-paligs-pec-videjas-izglitib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70CFA-5BA3-4CBF-98D4-2DC3570A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15</Pages>
  <Words>22499</Words>
  <Characters>12825</Characters>
  <Application>Microsoft Office Word</Application>
  <DocSecurity>0</DocSecurity>
  <Lines>106</Lines>
  <Paragraphs>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Liesma Jankovska</dc:creator>
  <cp:keywords/>
  <dc:description/>
  <cp:lastModifiedBy>Liesma Jankovska</cp:lastModifiedBy>
  <cp:revision>195</cp:revision>
  <cp:lastPrinted>2026-04-23T06:59:00Z</cp:lastPrinted>
  <dcterms:created xsi:type="dcterms:W3CDTF">2026-04-20T11:41:00Z</dcterms:created>
  <dcterms:modified xsi:type="dcterms:W3CDTF">2026-04-27T05:59:00Z</dcterms:modified>
</cp:coreProperties>
</file>